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2A"/>
          <w:sz w:val="40"/>
        </w:rPr>
        <w:t>中国政法大学图书馆通知公告观察站</w:t>
      </w:r>
    </w:p>
    <w:p>
      <w:pPr>
        <w:jc w:val="center"/>
      </w:pPr>
      <w:r>
        <w:t>创新创业项目说明 / Project Proposal</w:t>
      </w:r>
    </w:p>
    <w:p>
      <w:r>
        <w:rPr>
          <w:b/>
          <w:color w:val="1E4F9A"/>
          <w:sz w:val="28"/>
        </w:rPr>
        <w:t>一、项目概述</w:t>
      </w:r>
    </w:p>
    <w:p>
      <w:pPr>
        <w:spacing w:line="283" w:lineRule="auto" w:after="100"/>
      </w:pPr>
      <w:r>
        <w:t>本项目面向中国政法大学师生，归档图书馆公开通知、公告与服务信息，提供每日自动更新、历史留存、关键词检索和结构化导出。</w:t>
      </w:r>
    </w:p>
    <w:p>
      <w:r>
        <w:rPr>
          <w:b/>
          <w:color w:val="1E4F9A"/>
          <w:sz w:val="28"/>
        </w:rPr>
        <w:t>二、问题背景</w:t>
      </w:r>
    </w:p>
    <w:p>
      <w:pPr>
        <w:spacing w:line="283" w:lineRule="auto" w:after="100"/>
      </w:pPr>
      <w:r>
        <w:t>图书馆资源、讲座、培训和服务开放信息具有明显时效性，长期归档有助于师生查询和数据化复盘。</w:t>
      </w:r>
    </w:p>
    <w:p>
      <w:r>
        <w:rPr>
          <w:b/>
          <w:color w:val="1E4F9A"/>
          <w:sz w:val="28"/>
        </w:rPr>
        <w:t>三、目标用户</w:t>
      </w:r>
    </w:p>
    <w:p>
      <w:pPr>
        <w:spacing w:line="283" w:lineRule="auto" w:after="100"/>
      </w:pPr>
      <w:r>
        <w:t>目标用户包括学生、教师、图书馆服务团队、信息素养课程团队和公开数据学习者。</w:t>
      </w:r>
    </w:p>
    <w:p>
      <w:r>
        <w:rPr>
          <w:b/>
          <w:color w:val="1E4F9A"/>
          <w:sz w:val="28"/>
        </w:rPr>
        <w:t>四、创新点</w:t>
      </w:r>
    </w:p>
    <w:p>
      <w:pPr>
        <w:spacing w:line="283" w:lineRule="auto" w:after="100"/>
      </w:pPr>
      <w:r>
        <w:t>项目将公开网页信息转换为可持续更新的数据资产，通过 GitHub Actions 自动运行，并提供静态看板。</w:t>
      </w:r>
    </w:p>
    <w:p>
      <w:r>
        <w:rPr>
          <w:b/>
          <w:color w:val="1E4F9A"/>
          <w:sz w:val="28"/>
        </w:rPr>
        <w:t>五、技术路线</w:t>
      </w:r>
    </w:p>
    <w:p>
      <w:pPr>
        <w:spacing w:line="283" w:lineRule="auto" w:after="100"/>
      </w:pPr>
      <w:r>
        <w:t>爬虫使用 Playwright 浏览器上下文访问图书馆官网，匹配通知、公告、资源、服务、讲座、培训等公开链接。若站点返回 Forbidden 或访问限制，程序记录诊断并保留历史数据。</w:t>
      </w:r>
    </w:p>
    <w:p>
      <w:r>
        <w:rPr>
          <w:b/>
          <w:color w:val="1E4F9A"/>
          <w:sz w:val="28"/>
        </w:rPr>
        <w:t>六、系统架构图</w:t>
      </w:r>
    </w:p>
    <w:p>
      <w:r>
        <w:drawing>
          <wp:inline xmlns:a="http://schemas.openxmlformats.org/drawingml/2006/main" xmlns:pic="http://schemas.openxmlformats.org/drawingml/2006/picture">
            <wp:extent cx="5852160" cy="2766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66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E4F9A"/>
          <w:sz w:val="28"/>
        </w:rPr>
        <w:t>七、前端界面示意</w:t>
      </w:r>
    </w:p>
    <w:p>
      <w:r>
        <w:drawing>
          <wp:inline xmlns:a="http://schemas.openxmlformats.org/drawingml/2006/main" xmlns:pic="http://schemas.openxmlformats.org/drawingml/2006/picture">
            <wp:extent cx="5852160" cy="3706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E4F9A"/>
          <w:sz w:val="28"/>
        </w:rPr>
        <w:t>八、数据结构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字段</w:t>
            </w:r>
          </w:p>
        </w:tc>
        <w:tc>
          <w:tcPr>
            <w:tcW w:type="dxa" w:w="4997"/>
          </w:tcPr>
          <w:p>
            <w:r>
              <w:t>含义</w:t>
            </w:r>
          </w:p>
        </w:tc>
      </w:tr>
      <w:tr>
        <w:tc>
          <w:tcPr>
            <w:tcW w:type="dxa" w:w="4997"/>
          </w:tcPr>
          <w:p>
            <w:r>
              <w:t>id</w:t>
            </w:r>
          </w:p>
        </w:tc>
        <w:tc>
          <w:tcPr>
            <w:tcW w:type="dxa" w:w="4997"/>
          </w:tcPr>
          <w:p>
            <w:r>
              <w:t>公告链接哈希</w:t>
            </w:r>
          </w:p>
        </w:tc>
      </w:tr>
      <w:tr>
        <w:tc>
          <w:tcPr>
            <w:tcW w:type="dxa" w:w="4997"/>
          </w:tcPr>
          <w:p>
            <w:r>
              <w:t>title</w:t>
            </w:r>
          </w:p>
        </w:tc>
        <w:tc>
          <w:tcPr>
            <w:tcW w:type="dxa" w:w="4997"/>
          </w:tcPr>
          <w:p>
            <w:r>
              <w:t>公告标题</w:t>
            </w:r>
          </w:p>
        </w:tc>
      </w:tr>
      <w:tr>
        <w:tc>
          <w:tcPr>
            <w:tcW w:type="dxa" w:w="4997"/>
          </w:tcPr>
          <w:p>
            <w:r>
              <w:t>date</w:t>
            </w:r>
          </w:p>
        </w:tc>
        <w:tc>
          <w:tcPr>
            <w:tcW w:type="dxa" w:w="4997"/>
          </w:tcPr>
          <w:p>
            <w:r>
              <w:t>公告日期</w:t>
            </w:r>
          </w:p>
        </w:tc>
      </w:tr>
      <w:tr>
        <w:tc>
          <w:tcPr>
            <w:tcW w:type="dxa" w:w="4997"/>
          </w:tcPr>
          <w:p>
            <w:r>
              <w:t>url</w:t>
            </w:r>
          </w:p>
        </w:tc>
        <w:tc>
          <w:tcPr>
            <w:tcW w:type="dxa" w:w="4997"/>
          </w:tcPr>
          <w:p>
            <w:r>
              <w:t>官方详情页</w:t>
            </w:r>
          </w:p>
        </w:tc>
      </w:tr>
      <w:tr>
        <w:tc>
          <w:tcPr>
            <w:tcW w:type="dxa" w:w="4997"/>
          </w:tcPr>
          <w:p>
            <w:r>
              <w:t>summary</w:t>
            </w:r>
          </w:p>
        </w:tc>
        <w:tc>
          <w:tcPr>
            <w:tcW w:type="dxa" w:w="4997"/>
          </w:tcPr>
          <w:p>
            <w:r>
              <w:t>摘要</w:t>
            </w:r>
          </w:p>
        </w:tc>
      </w:tr>
      <w:tr>
        <w:tc>
          <w:tcPr>
            <w:tcW w:type="dxa" w:w="4997"/>
          </w:tcPr>
          <w:p>
            <w:r>
              <w:t>section</w:t>
            </w:r>
          </w:p>
        </w:tc>
        <w:tc>
          <w:tcPr>
            <w:tcW w:type="dxa" w:w="4997"/>
          </w:tcPr>
          <w:p>
            <w:r>
              <w:t>栏目</w:t>
            </w:r>
          </w:p>
        </w:tc>
      </w:tr>
      <w:tr>
        <w:tc>
          <w:tcPr>
            <w:tcW w:type="dxa" w:w="4997"/>
          </w:tcPr>
          <w:p>
            <w:r>
              <w:t>first_seen_at</w:t>
            </w:r>
          </w:p>
        </w:tc>
        <w:tc>
          <w:tcPr>
            <w:tcW w:type="dxa" w:w="4997"/>
          </w:tcPr>
          <w:p>
            <w:r>
              <w:t>首次发现时间</w:t>
            </w:r>
          </w:p>
        </w:tc>
      </w:tr>
      <w:tr>
        <w:tc>
          <w:tcPr>
            <w:tcW w:type="dxa" w:w="4997"/>
          </w:tcPr>
          <w:p>
            <w:r>
              <w:t>last_seen_at</w:t>
            </w:r>
          </w:p>
        </w:tc>
        <w:tc>
          <w:tcPr>
            <w:tcW w:type="dxa" w:w="4997"/>
          </w:tcPr>
          <w:p>
            <w:r>
              <w:t>最近发现时间</w:t>
            </w:r>
          </w:p>
        </w:tc>
      </w:tr>
    </w:tbl>
    <w:p>
      <w:r>
        <w:rPr>
          <w:b/>
          <w:color w:val="1E4F9A"/>
          <w:sz w:val="28"/>
        </w:rPr>
        <w:t>九、合规说明</w:t>
      </w:r>
    </w:p>
    <w:p>
      <w:pPr>
        <w:spacing w:line="283" w:lineRule="auto" w:after="100"/>
      </w:pPr>
      <w:r>
        <w:t>项目仅访问公开网页，不绕过访问控制，不采集个人隐私数据，不代表中国政法大学官方。</w:t>
      </w:r>
    </w:p>
    <w:p>
      <w:r>
        <w:rPr>
          <w:b/>
          <w:color w:val="1E4F9A"/>
          <w:sz w:val="28"/>
        </w:rPr>
        <w:t>十、应用价值与后续扩展</w:t>
      </w:r>
    </w:p>
    <w:p>
      <w:pPr>
        <w:spacing w:line="283" w:lineRule="auto" w:after="100"/>
      </w:pPr>
      <w:r>
        <w:t>项目可扩展为法大公共服务信息归档平台，支持关键词订阅、跨站聚合、GitHub Pages 发布和历史趋势分析。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