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Redflag Canvas 创新创业项目申报书</w:t>
      </w:r>
    </w:p>
    <w:p>
      <w:pPr>
        <w:jc w:val="center"/>
      </w:pPr>
      <w:r>
        <w:t>面向隐私政策理解、消费者权益教育与社会科学研究的可视化法律科技工具</w:t>
      </w:r>
    </w:p>
    <w:p>
      <w:pPr>
        <w:pStyle w:val="Heading1"/>
      </w:pPr>
      <w:r>
        <w:t>一、项目概述</w:t>
      </w:r>
    </w:p>
    <w:p>
      <w:r>
        <w:t>Privacy Redflag Canvas 是一个浏览器端隐私政策红旗识别与可视化工具。用户粘贴隐私政策、App 条款或平台说明后，系统自动生成风险评分、红旗类别、证据表、追问问题和可打印报告，适合法律科技教学、社会科学研究、新闻报道准备和大学生创新创业申报。</w:t>
      </w:r>
    </w:p>
    <w:p>
      <w:pPr>
        <w:pStyle w:val="Heading1"/>
      </w:pPr>
      <w:r>
        <w:t>二、问题背景</w:t>
      </w:r>
    </w:p>
    <w:p>
      <w:r>
        <w:t>隐私政策通常篇幅长、术语多、责任边界模糊。普通用户难以识别敏感数据收集、第三方共享、长期留存、自动化决策、弱同意和跨境传输等问题。法律和社科学生也缺少一个能把文本、证据和可视化结合起来的教学型工具。</w:t>
      </w:r>
    </w:p>
    <w:p>
      <w:pPr>
        <w:pStyle w:val="Heading1"/>
      </w:pPr>
      <w:r>
        <w:t>三、目标用户</w:t>
      </w:r>
    </w:p>
    <w:p>
      <w:pPr>
        <w:pStyle w:val="ListBullet"/>
      </w:pPr>
      <w:r>
        <w:t>法学生与法律科技课程团队</w:t>
      </w:r>
    </w:p>
    <w:p>
      <w:pPr>
        <w:pStyle w:val="ListBullet"/>
      </w:pPr>
      <w:r>
        <w:t>社会科学研究者与数据新闻学生</w:t>
      </w:r>
    </w:p>
    <w:p>
      <w:pPr>
        <w:pStyle w:val="ListBullet"/>
      </w:pPr>
      <w:r>
        <w:t>消费者权益 NGO 与公益组织</w:t>
      </w:r>
    </w:p>
    <w:p>
      <w:pPr>
        <w:pStyle w:val="ListBullet"/>
      </w:pPr>
      <w:r>
        <w:t>记者、自媒体和政策研究者</w:t>
      </w:r>
    </w:p>
    <w:p>
      <w:pPr>
        <w:pStyle w:val="ListBullet"/>
      </w:pPr>
      <w:r>
        <w:t>大学生创新创业、挑战杯、互联网+ 项目团队</w:t>
      </w:r>
    </w:p>
    <w:p>
      <w:pPr>
        <w:pStyle w:val="Heading1"/>
      </w:pPr>
      <w:r>
        <w:t>四、创新点</w:t>
      </w:r>
    </w:p>
    <w:p>
      <w:pPr>
        <w:pStyle w:val="ListBullet"/>
      </w:pPr>
      <w:r>
        <w:t>把抽象隐私政策转换为可截图传播的红旗画布</w:t>
      </w:r>
    </w:p>
    <w:p>
      <w:pPr>
        <w:pStyle w:val="ListBullet"/>
      </w:pPr>
      <w:r>
        <w:t>在本地浏览器内运行，降低数据上传和隐私泄露风险</w:t>
      </w:r>
    </w:p>
    <w:p>
      <w:pPr>
        <w:pStyle w:val="ListBullet"/>
      </w:pPr>
      <w:r>
        <w:t>将法律风险、证据短语和追问问题放在同一张表中</w:t>
      </w:r>
    </w:p>
    <w:p>
      <w:pPr>
        <w:pStyle w:val="ListBullet"/>
      </w:pPr>
      <w:r>
        <w:t>同时服务课堂教学、公共传播和创新创业申报材料制作</w:t>
      </w:r>
    </w:p>
    <w:p>
      <w:pPr>
        <w:pStyle w:val="Heading1"/>
      </w:pPr>
      <w:r>
        <w:t>五、前端界面与产品体验</w:t>
      </w:r>
    </w:p>
    <w:p>
      <w:r>
        <w:t>产品采用克制、可信的法律科技视觉风格。首屏突出“Turn any privacy policy into a red-flag canvas”，包含示例加载、打印报告、政策输入、风险评分、分类图表、证据表和 JSON 导出功能。</w:t>
      </w:r>
    </w:p>
    <w:p>
      <w:r>
        <w:t>界面示意图见仓库 assets/demo.svg；架构图见 assets/architecture.svg。</w:t>
      </w:r>
    </w:p>
    <w:p>
      <w:pPr>
        <w:pStyle w:val="Heading1"/>
      </w:pPr>
      <w:r>
        <w:t>六、技术路线</w:t>
      </w:r>
    </w:p>
    <w:p>
      <w:pPr>
        <w:pStyle w:val="ListBullet"/>
      </w:pPr>
      <w:r>
        <w:t>静态 HTML/CSS/JavaScript 前端，无需后端部署</w:t>
      </w:r>
    </w:p>
    <w:p>
      <w:pPr>
        <w:pStyle w:val="ListBullet"/>
      </w:pPr>
      <w:r>
        <w:t>浏览器内规则引擎识别敏感数据、第三方共享、长期留存、自动化决策等类别</w:t>
      </w:r>
    </w:p>
    <w:p>
      <w:pPr>
        <w:pStyle w:val="ListBullet"/>
      </w:pPr>
      <w:r>
        <w:t>结果以风险卡片、条形图、证据表呈现</w:t>
      </w:r>
    </w:p>
    <w:p>
      <w:pPr>
        <w:pStyle w:val="ListBullet"/>
      </w:pPr>
      <w:r>
        <w:t>支持 JSON 导出和浏览器打印报告</w:t>
      </w:r>
    </w:p>
    <w:p>
      <w:pPr>
        <w:pStyle w:val="ListBullet"/>
      </w:pPr>
      <w:r>
        <w:t>可部署到 GitHub Pages、Vercel 或 Netlify</w:t>
      </w:r>
    </w:p>
    <w:p>
      <w:pPr>
        <w:pStyle w:val="Heading1"/>
      </w:pPr>
      <w:r>
        <w:t>七、商业与社会价值</w:t>
      </w:r>
    </w:p>
    <w:p>
      <w:r>
        <w:t>项目的核心价值不在替代律师，而在降低公众理解隐私政策的门槛。它可以作为法学与社科课程案例、消费者权益工作坊工具、数据新闻前期整理工具，也可发展为面向学校和公益组织的隐私教育套件。</w:t>
      </w:r>
    </w:p>
    <w:p>
      <w:pPr>
        <w:pStyle w:val="Heading1"/>
      </w:pPr>
      <w:r>
        <w:t>八、竞品分析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代表形态</w:t>
            </w:r>
          </w:p>
        </w:tc>
        <w:tc>
          <w:tcPr>
            <w:tcW w:type="dxa" w:w="2160"/>
          </w:tcPr>
          <w:p>
            <w:r>
              <w:t>不足</w:t>
            </w:r>
          </w:p>
        </w:tc>
        <w:tc>
          <w:tcPr>
            <w:tcW w:type="dxa" w:w="2160"/>
          </w:tcPr>
          <w:p>
            <w:r>
              <w:t>本项目差异</w:t>
            </w:r>
          </w:p>
        </w:tc>
      </w:tr>
      <w:tr>
        <w:tc>
          <w:tcPr>
            <w:tcW w:type="dxa" w:w="2160"/>
          </w:tcPr>
          <w:p>
            <w:r>
              <w:t>法律咨询工具</w:t>
            </w:r>
          </w:p>
        </w:tc>
        <w:tc>
          <w:tcPr>
            <w:tcW w:type="dxa" w:w="2160"/>
          </w:tcPr>
          <w:p>
            <w:r>
              <w:t>律师咨询/AI 问答</w:t>
            </w:r>
          </w:p>
        </w:tc>
        <w:tc>
          <w:tcPr>
            <w:tcW w:type="dxa" w:w="2160"/>
          </w:tcPr>
          <w:p>
            <w:r>
              <w:t>门槛较高，结果不易教学复用</w:t>
            </w:r>
          </w:p>
        </w:tc>
        <w:tc>
          <w:tcPr>
            <w:tcW w:type="dxa" w:w="2160"/>
          </w:tcPr>
          <w:p>
            <w:r>
              <w:t>强调证据表和课堂/公益场景</w:t>
            </w:r>
          </w:p>
        </w:tc>
      </w:tr>
      <w:tr>
        <w:tc>
          <w:tcPr>
            <w:tcW w:type="dxa" w:w="2160"/>
          </w:tcPr>
          <w:p>
            <w:r>
              <w:t>隐私政策生成器</w:t>
            </w:r>
          </w:p>
        </w:tc>
        <w:tc>
          <w:tcPr>
            <w:tcW w:type="dxa" w:w="2160"/>
          </w:tcPr>
          <w:p>
            <w:r>
              <w:t>模板生成</w:t>
            </w:r>
          </w:p>
        </w:tc>
        <w:tc>
          <w:tcPr>
            <w:tcW w:type="dxa" w:w="2160"/>
          </w:tcPr>
          <w:p>
            <w:r>
              <w:t>偏企业端合规输出</w:t>
            </w:r>
          </w:p>
        </w:tc>
        <w:tc>
          <w:tcPr>
            <w:tcW w:type="dxa" w:w="2160"/>
          </w:tcPr>
          <w:p>
            <w:r>
              <w:t>偏用户端理解和红旗识别</w:t>
            </w:r>
          </w:p>
        </w:tc>
      </w:tr>
      <w:tr>
        <w:tc>
          <w:tcPr>
            <w:tcW w:type="dxa" w:w="2160"/>
          </w:tcPr>
          <w:p>
            <w:r>
              <w:t>文本分析工具</w:t>
            </w:r>
          </w:p>
        </w:tc>
        <w:tc>
          <w:tcPr>
            <w:tcW w:type="dxa" w:w="2160"/>
          </w:tcPr>
          <w:p>
            <w:r>
              <w:t>通用 NLP</w:t>
            </w:r>
          </w:p>
        </w:tc>
        <w:tc>
          <w:tcPr>
            <w:tcW w:type="dxa" w:w="2160"/>
          </w:tcPr>
          <w:p>
            <w:r>
              <w:t>缺少法律教育语境</w:t>
            </w:r>
          </w:p>
        </w:tc>
        <w:tc>
          <w:tcPr>
            <w:tcW w:type="dxa" w:w="2160"/>
          </w:tcPr>
          <w:p>
            <w:r>
              <w:t>内置隐私政策风险类别</w:t>
            </w:r>
          </w:p>
        </w:tc>
      </w:tr>
    </w:tbl>
    <w:p>
      <w:pPr>
        <w:pStyle w:val="Heading1"/>
      </w:pPr>
      <w:r>
        <w:t>九、实施计划</w:t>
      </w:r>
    </w:p>
    <w:p>
      <w:pPr>
        <w:pStyle w:val="ListNumber"/>
      </w:pPr>
      <w:r>
        <w:t>第 1 周：完善规则库、示例政策和中文场景文案</w:t>
      </w:r>
    </w:p>
    <w:p>
      <w:pPr>
        <w:pStyle w:val="ListNumber"/>
      </w:pPr>
      <w:r>
        <w:t>第 2 周：增加批量比较和报告模板</w:t>
      </w:r>
    </w:p>
    <w:p>
      <w:pPr>
        <w:pStyle w:val="ListNumber"/>
      </w:pPr>
      <w:r>
        <w:t>第 3 周：面向法学生/社科学生进行小范围测试</w:t>
      </w:r>
    </w:p>
    <w:p>
      <w:pPr>
        <w:pStyle w:val="ListNumber"/>
      </w:pPr>
      <w:r>
        <w:t>第 4 周：发布教学包、申报材料模板和案例库</w:t>
      </w:r>
    </w:p>
    <w:p>
      <w:pPr>
        <w:pStyle w:val="Heading1"/>
      </w:pPr>
      <w:r>
        <w:t>十、团队分工建议</w:t>
      </w:r>
    </w:p>
    <w:p>
      <w:pPr>
        <w:pStyle w:val="ListBullet"/>
      </w:pPr>
      <w:r>
        <w:t>产品与前端：负责交互、视觉、部署和用户体验</w:t>
      </w:r>
    </w:p>
    <w:p>
      <w:pPr>
        <w:pStyle w:val="ListBullet"/>
      </w:pPr>
      <w:r>
        <w:t>法律/政策研究：负责风险类别、术语解释和免责声明</w:t>
      </w:r>
    </w:p>
    <w:p>
      <w:pPr>
        <w:pStyle w:val="ListBullet"/>
      </w:pPr>
      <w:r>
        <w:t>数据与研究方法：负责证据表、批量分析和评价指标</w:t>
      </w:r>
    </w:p>
    <w:p>
      <w:pPr>
        <w:pStyle w:val="ListBullet"/>
      </w:pPr>
      <w:r>
        <w:t>运营与申报：负责 BP、路演材料、传播文案和高校社群推广</w:t>
      </w:r>
    </w:p>
    <w:p>
      <w:pPr>
        <w:pStyle w:val="Heading1"/>
      </w:pPr>
      <w:r>
        <w:t>十一、风险与合规</w:t>
      </w:r>
    </w:p>
    <w:p>
      <w:r>
        <w:t>本项目仅用于教育、研究和初步识别，不构成法律建议，不能替代律师、监管机构或其他专业人士。规则匹配可能出现误报或漏报，用户应结合具体法域和事实背景进行判断。</w:t>
      </w:r>
    </w:p>
    <w:p>
      <w:pPr>
        <w:pStyle w:val="Heading1"/>
      </w:pPr>
      <w:r>
        <w:t>十二、预期成果</w:t>
      </w:r>
    </w:p>
    <w:p>
      <w:pPr>
        <w:pStyle w:val="ListBullet"/>
      </w:pPr>
      <w:r>
        <w:t>一个可公开访问的静态网页产品</w:t>
      </w:r>
    </w:p>
    <w:p>
      <w:pPr>
        <w:pStyle w:val="ListBullet"/>
      </w:pPr>
      <w:r>
        <w:t>一套隐私政策红旗识别规则和示例数据</w:t>
      </w:r>
    </w:p>
    <w:p>
      <w:pPr>
        <w:pStyle w:val="ListBullet"/>
      </w:pPr>
      <w:r>
        <w:t>一份可用于创新创业申报的 BP/项目书</w:t>
      </w:r>
    </w:p>
    <w:p>
      <w:pPr>
        <w:pStyle w:val="ListBullet"/>
      </w:pPr>
      <w:r>
        <w:t>适合法学、社科、新闻传播课程使用的教学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