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3864"/>
          <w:sz w:val="48"/>
          <w:szCs w:val="48"/>
        </w:rPr>
        <w:t xml:space="preserve">CONTRACT REVIEW</w:t>
      </w:r>
    </w:p>
    <w:p>
      <w:pPr>
        <w:spacing w:before="0" w:after="40"/>
      </w:pPr>
      <w:r>
        <w:rPr>
          <w:rFonts w:ascii="Arial" w:cs="Arial" w:eastAsia="Arial" w:hAnsi="Arial"/>
          <w:color w:val="2E74B5"/>
          <w:sz w:val="28"/>
          <w:szCs w:val="28"/>
        </w:rPr>
        <w:t xml:space="preserve">VIMA 2.0 Model Non-Disclosure Agreement (2019 updated)</w:t>
      </w:r>
    </w:p>
    <w:p>
      <w:pPr>
        <w:pBdr>
          <w:bottom w:val="single" w:color="2E74B5" w:sz="8" w:space="4"/>
        </w:pBdr>
        <w:spacing w:before="0" w:after="240"/>
      </w:pPr>
      <w:r>
        <w:rPr>
          <w:rFonts w:ascii="Arial" w:cs="Arial" w:eastAsia="Arial" w:hAnsi="Arial"/>
          <w:color w:val="555555"/>
          <w:sz w:val="20"/>
          <w:szCs w:val="20"/>
        </w:rPr>
        <w:t xml:space="preserve">Date of Review: 18 February 2026    |    Reviewer: Claude    |    Risk Profile: </w:t>
      </w:r>
      <w:r>
        <w:rPr>
          <w:rFonts w:ascii="Arial" w:cs="Arial" w:eastAsia="Arial" w:hAnsi="Arial"/>
          <w:b/>
          <w:bCs/>
          <w:color w:val="C00000"/>
          <w:sz w:val="20"/>
          <w:szCs w:val="20"/>
        </w:rPr>
        <w:t xml:space="preserve">MEDIUM</w:t>
      </w:r>
    </w:p>
    <w:p>
      <w:pPr>
        <w:spacing w:before="240" w:after="80"/>
      </w:pPr>
      <w:r>
        <w:rPr>
          <w:rFonts w:ascii="Arial" w:cs="Arial" w:eastAsia="Arial" w:hAnsi="Arial"/>
          <w:b/>
          <w:bCs/>
          <w:color w:val="1F3864"/>
          <w:sz w:val="26"/>
          <w:szCs w:val="26"/>
        </w:rPr>
        <w:t xml:space="preserve">A.  CONTRACT SUMMARY</w:t>
      </w:r>
    </w:p>
    <w:p>
      <w:pPr>
        <w:spacing w:before="80" w:after="80"/>
      </w:pPr>
      <w:r>
        <w:rPr>
          <w:rFonts w:ascii="Arial" w:cs="Arial" w:eastAsia="Arial" w:hAnsi="Arial"/>
          <w:sz w:val="22"/>
          <w:szCs w:val="22"/>
        </w:rPr>
        <w:t xml:space="preserve">This is the VIMA 2.0 Model Non-Disclosure Agreement (2019 updated), a Singapore venture capital industry standard template. It is a one-way NDA in favour of the legaltech startup as Disclosing Party. The Receiving Party (the investor) agrees to maintain confidentiality of information disclosed for the purpose of evaluating a potential investment. The agreement is governed by Singapore law, and both parties appear to be Singapore-incorporated.</w:t>
      </w:r>
    </w:p>
    <w:p>
      <w:pPr>
        <w:spacing w:before="80" w:after="80"/>
      </w:pPr>
      <w:r>
        <w:rPr>
          <w:rFonts w:ascii="Arial" w:cs="Arial" w:eastAsia="Arial" w:hAnsi="Arial"/>
          <w:sz w:val="22"/>
          <w:szCs w:val="22"/>
        </w:rPr>
        <w:t xml:space="preserve">The NDA is an unfilled template — multiple critical blanks remain (agreement date, party names and registration numbers, non-solicitation duration, NDA term, and the dispute resolution mechanism). These must all be populated before execution.</w:t>
      </w:r>
    </w:p>
    <w:p>
      <w:pPr>
        <w:spacing w:before="80" w:after="80"/>
      </w:pPr>
      <w:r>
        <w:rPr>
          <w:rFonts w:ascii="Arial" w:cs="Arial" w:eastAsia="Arial" w:hAnsi="Arial"/>
          <w:sz w:val="22"/>
          <w:szCs w:val="22"/>
        </w:rPr>
        <w:t xml:space="preserve">The overall risk profile for the Receiving Party as investor is MEDIUM. The document is a well-known industry standard and most of its commercial terms are reasonable. However, there are several substantive concerns: most notably, the absence of any post-termination survival clause (meaning confidentiality obligations could cease abruptly), no data protection provisions despite likely PDPA-sensitive materials being shared, the Disclosing Party's right to seek injunctive relief in any jurisdiction worldwide, and the complete absence of any accuracy warranty from the Disclosing Party on the information it provides.</w:t>
      </w:r>
    </w:p>
    <w:p>
      <w:pPr>
        <w:spacing w:before="300" w:after="120"/>
      </w:pPr>
      <w:r>
        <w:rPr>
          <w:rFonts w:ascii="Arial" w:cs="Arial" w:eastAsia="Arial" w:hAnsi="Arial"/>
          <w:b/>
          <w:bCs/>
          <w:color w:val="1F3864"/>
          <w:sz w:val="26"/>
          <w:szCs w:val="26"/>
        </w:rPr>
        <w:t xml:space="preserve">B.  ISSUES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813"/>
        <w:gridCol w:w="3013"/>
      </w:tblGrid>
      <w:tr>
        <w:trPr>
          <w:tblHeader/>
        </w:trPr>
        <w:tc>
          <w:tcPr>
            <w:tcW w:type="dxa" w:w="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S/N</w:t>
            </w:r>
          </w:p>
        </w:tc>
        <w:tc>
          <w:tcPr>
            <w:tcW w:type="dxa" w:w="17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8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1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Possible Action</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Critical Template Blanks — Execution Blockers</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blanks remain unfilled that prevent execution: agreement date, both parties' legal names, company registration numbers, registered addresses, the non-solicitation duration (Clause 3.1: "[●] months"), the NDA term (Clause 10: "[●] months"), and the dispute resolution mechanism (Clause 17: Option 1 vs Option 2 not selected). The process agent details (Clause 18) are also blank. The agreement cannot be safely executed in its current state.</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Ensure all [●] blanks are populated before signing. Confirm which dispute resolution option is selected. Assign responsibility to the counterparty's counsel to return a populated draft for review.</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No Post-Termination Survival of Confidentiality Obligations</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NDA terminates on the earlier of completion of the Proposed Transaction or expiry of the term (Clause 10). There is no survival clause. Once the NDA terminates, the confidentiality obligations in Clause 2 arguably fall away, leaving the Receiving Party free to use or disclose the information. Most NDAs either extend the confidentiality period beyond termination (e.g., 3–5 years) or make obligations survive indefinitely for trade secrets.</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Negotiate insertion of a survival clause: "Clauses 2, 3, 4, 5, 6 and 9 shall survive the termination of this Agreement for a period of [3–5] years."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Multi-Jurisdictional Injunctive Relief (Clause 9)</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Clause 9 expressly acknowledges that the Disclosing Party is entitled to seek "specific performance or injunctive relief… from any court in any jurisdiction." The Receiving Party has pre-acknowledged this right. This means the startup could seek emergency injunctions against your company in foreign courts (e.g., where your affiliates are based), even if Singapore courts are selected as the dispute forum.</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Seek to limit injunctive relief to Singapore courts only, consistent with the chosen dispute resolution forum. Propose: "…from the courts of Singapore" rather than "any court in any jurisdiction."</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No Accuracy Warranty from Disclosing Party (Clauses 4.2–4.3)</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Clause 4.2 provides that Confidential Information shall not form the basis of any contract, and Clause 4.3 requires the Receiving Party to make its own assessment. The Disclosing Party makes no representation that the information it provides is accurate, complete, or not misleading. For an investor conducting due diligence, this means the startup can share incomplete or inaccurate information without contractual liability under this NDA.</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this limitation. Ensure that representations and warranties about accuracy of disclosed information are captured in the subsequent investment agreement (term sheet, SHA). Do not rely solely on the NDA for protection against misleading disclosures.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 Data Protection / PDPA Provisions</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NDA contains no data protection clause. Legaltech due diligence materials are likely to include personal data (employee records, client lists, user data). Both parties are subject to Singapore's Personal Data Protection Act 2012 (PDPA). There is no provision addressing how personal data within the Confidential Information is to be handled, protected, or processed, and no data breach notification obligation.</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insertion of a PDPA-compliant data protection clause addressing: (a) obligations to handle personal data in accordance with PDPA; (b) prohibition on processing personal data beyond the Purpose; and (c) data breach notification obligations. Alternatively, ensure a separate data processing agreement is in place.</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No Return or Destruction of Confidential Information on Termination</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There is no obligation on the Receiving Party to return or destroy Confidential Information upon termination of the NDA. While this is technically favourable to your company (you retain records for reference), the absence of such a clause leaves the post-termination treatment of materials undefined, and the Disclosing Party may seek to negotiate this point.</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the Disclosing Party raises this, agree to a return/destruction obligation limited to physical documents and tangible materials only, retaining the right to keep one archival copy for legal/compliance purposes and electronic copies in backup systems.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Pre-Agreement Disclosures Captured (Clause 1)</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definition of Confidential Information covers information disclosed "whether on, before or after the date hereof." This means information already shared with your company before this NDA is signed (e.g., pitch decks, financial summaries) would be captured retroactively as Confidential Information, subject to the NDA's obligations.</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all information received prior to signing. If retroactive capture is commercially unacceptable, propose limiting the definition to information disclosed "on or after the date of this Agreement."</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Oral Disclosures with 30-Day Confirmation Window (Clause 1)</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Oral disclosures are included in the definition of Confidential Information if reduced to writing within 30 days of disclosure (Clause 1). This creates a rolling window during which the scope of protected information may expand retroactively. The Receiving Party may not always be aware that a verbal conversation is being retrospectively characterised as a Confidential Information disclosure.</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Keep internal records of all oral communications with the startup during the NDA period. Require the Disclosing Party to issue written confirmations promptly and clearly mark them as Confidential Information notifications.</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Broad "Representatives" Definition (Clause 3)</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"Representatives" is defined broadly as "bankers, professional advisers, consultants, related corporations or affiliates." Any breach by a Representative is deemed a breach by the Receiving Party (Clause 2.5). The breadth — particularly "affiliates" — means that a data leak by any affiliated entity of your company could trigger liability under the NDA, even if the Receiving Party itself complied with its obligations.</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Propose narrowing "Representatives" to "directors, officers, employees, professional advisers and consultants" who have a need to know for the Purpose. If affiliates must be included, seek a carve-out from deemed breach for affiliates who independently receive information without the Receiving Party's involvement.</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Non-Solicitation: One-Sided, Open Duration, Broad Scope (Clause 3.1)</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non-solicitation clause is entirely one-sided — it restricts only the Receiving Party and its Representatives. Duration is blank ([●] months). The restriction covers all employees, officers and directors of the Disclosing Party. In an investment context, this could restrict your company's ordinary hiring activities if the startup's staff independently apply for roles.</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Negotiate: (a) a reasonable duration (typically 6–12 months); (b) mutuality — the Disclosing Party should be equally restricted from soliciting your staff; and (c) limitation to senior employees/key persons rather than all staff.</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Dispute Resolution Mechanism Not Selected (Clause 17)</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Clause 17 presents two alternative dispute resolution mechanisms — Singapore court litigation (Option 1) or SIAC arbitration (Option 2) — but neither has been selected. The agreement as drafted is ambiguous as to how disputes would be resolved. This is an execution blocker.</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a mechanism before signing. SIAC arbitration (Option 2) is generally preferred for investor/startup disputes given confidentiality, multi-jurisdictional enforceability, and flexibility. Confirm with the counterparty which is preferred.</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Process Agent Clause Incomplete and Likely Unnecessary (Clause 18)</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Process Agent clause is intended for parties not incorporated in Singapore (per the drafting note, it is also unnecessary if arbitration is selected). Both parties appear to be Singapore-incorporated. The clause retains multiple unfilled placeholders and is not currently operative.</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If arbitration is selected, delete Clause 18 in its entirety. If Singapore court litigation is selected and both parties are Singapore-incorporated, this clause is also unnecessary and should be removed.</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No Formal Notices Clause</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There is no notices clause specifying the manner in which formal notices under the Agreement must be given, the designated addresses, or deemed receipt periods. Clause 5 references "notice in writing" for compelled disclosure but provides no procedural framework.</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insertion of a standard notices clause specifying: (a) valid notice methods (email, registered post, personal delivery); (b) designated addresses and contact persons for each party; and (c) deemed receipt periods.</w:t>
            </w:r>
          </w:p>
        </w:tc>
      </w:tr>
      <w:tr>
        <w:tc>
          <w:tcPr>
            <w:tcW w:type="dxa" w:w="5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1700"/>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bCs/>
                <w:color w:val="000000"/>
                <w:sz w:val="20"/>
                <w:szCs w:val="20"/>
              </w:rPr>
              <w:t xml:space="preserve">No Limitation of Liability</w:t>
            </w:r>
          </w:p>
        </w:tc>
        <w:tc>
          <w:tcPr>
            <w:tcW w:type="dxa" w:w="38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NDA imposes potentially unlimited liability on the Receiving Party for breach, with no cap on damages. While this is common for NDAs, combined with the multi-jurisdictional injunctive relief right (Clause 9), the Receiving Party's exposure is substantial and uncapped.</w:t>
            </w:r>
          </w:p>
        </w:tc>
        <w:tc>
          <w:tcPr>
            <w:tcW w:type="dxa" w:w="3013"/>
            <w:tcBorders>
              <w:top w:val="single" w:color="AAAAAA" w:sz="4"/>
              <w:left w:val="single" w:color="AAAAAA" w:sz="4"/>
              <w:bottom w:val="single" w:color="AAAAAA" w:sz="4"/>
              <w:right w:val="single" w:color="AAAAAA" w:sz="4"/>
            </w:tcBorders>
            <w:shd w:fill="EBF0FA" w:val="clear"/>
            <w:tcMar>
              <w:top w:type="dxa" w:w="80"/>
              <w:left w:type="dxa" w:w="120"/>
              <w:bottom w:type="dxa" w:w="80"/>
              <w:right w:type="dxa" w:w="120"/>
            </w:tcMar>
          </w:tcPr>
          <w:p>
            <w:r>
              <w:rPr>
                <w:rFonts w:ascii="Arial" w:cs="Arial" w:eastAsia="Arial" w:hAnsi="Arial"/>
                <w:b w:val="false"/>
                <w:bCs w:val="false"/>
                <w:color w:val="000000"/>
                <w:sz w:val="20"/>
                <w:szCs w:val="20"/>
              </w:rPr>
              <w:t xml:space="preserve">Note as inherent to the template structure. The primary mitigation is strong internal controls on Confidential Information handling. Consider whether to propose a liability cap (e.g., a nominal fixed sum) if your company's standard NDA terms include one.</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1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Signatory Block — Witness Requirement</w:t>
            </w:r>
          </w:p>
        </w:tc>
        <w:tc>
          <w:tcPr>
            <w:tcW w:type="dxa" w:w="38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signatory blocks require a witness to each director's signature. Under the Singapore Companies Act, a company can generally execute documents by the signature of a director alone (or two directors, or a director and company secretary) without a witness. This may create execution difficulties if signing is done remotely or electronically via DocuSign (as contemplated by Clause 13).</w:t>
            </w:r>
          </w:p>
        </w:tc>
        <w:tc>
          <w:tcPr>
            <w:tcW w:type="dxa" w:w="3013"/>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with the counterparty whether a witnessed signature is required or whether single-party electronic execution via DocuSign is sufficient. If witnesses are required, plan for in-person signing.</w:t>
            </w:r>
          </w:p>
        </w:tc>
      </w:tr>
    </w:tbl>
    <w:p>
      <w:pPr>
        <w:pBdr>
          <w:top w:val="single" w:color="2E74B5" w:sz="6" w:space="8"/>
          <w:bottom w:val="single" w:color="2E74B5" w:sz="6" w:space="8"/>
        </w:pBdr>
        <w:spacing w:before="360" w:after="80"/>
      </w:pPr>
      <w:r>
        <w:rPr>
          <w:rFonts w:ascii="Arial" w:cs="Arial" w:eastAsia="Arial" w:hAnsi="Arial"/>
          <w:b/>
          <w:bCs/>
          <w:color w:val="1F3864"/>
          <w:sz w:val="20"/>
          <w:szCs w:val="20"/>
        </w:rPr>
        <w:t xml:space="preserve">NOTE: </w:t>
      </w:r>
      <w:r>
        <w:rPr>
          <w:rFonts w:ascii="Arial" w:cs="Arial" w:eastAsia="Arial" w:hAnsi="Arial"/>
          <w:i/>
          <w:iCs/>
          <w:color w:val="333333"/>
          <w:sz w:val="20"/>
          <w:szCs w:val="20"/>
        </w:rPr>
        <w:t xml:space="preserve">This review is a preliminary analysis prepared to assist the Legal department. It does not constitute legal advice. Please consult a qualified lawyer in the Legal department before taking any action in reliance on this review.</w:t>
      </w:r>
    </w:p>
    <w:sectPr>
      <w:headerReference w:type="default" r:id="rId6"/>
      <w:footerReference w:type="default" r:id="rId7"/>
      <w:pgSz w:w="16838"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space="1"/>
      </w:pBdr>
      <w:tabs>
        <w:tab w:val="right" w:pos="15000"/>
      </w:tabs>
    </w:pPr>
    <w:r>
      <w:rPr>
        <w:rFonts w:ascii="Arial" w:cs="Arial" w:eastAsia="Arial" w:hAnsi="Arial"/>
        <w:color w:val="777777"/>
        <w:sz w:val="18"/>
        <w:szCs w:val="18"/>
      </w:rPr>
      <w:t xml:space="preserve">CONFIDENTIAL — For Legal Department use only    |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Prepared: 18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space="1"/>
      </w:pBdr>
      <w:tabs>
        <w:tab w:val="right" w:pos="15000"/>
      </w:tabs>
    </w:pPr>
    <w:r>
      <w:rPr>
        <w:rFonts w:ascii="Arial" w:cs="Arial" w:eastAsia="Arial" w:hAnsi="Arial"/>
        <w:b/>
        <w:bCs/>
        <w:color w:val="1F3864"/>
        <w:sz w:val="22"/>
        <w:szCs w:val="22"/>
      </w:rPr>
      <w:t xml:space="preserve">CONTRACT REVIEW — NDA</w:t>
    </w:r>
    <w:r>
      <w:rPr>
        <w:rFonts w:ascii="Arial" w:cs="Arial" w:eastAsia="Arial" w:hAnsi="Arial"/>
        <w:color w:val="555555"/>
        <w:sz w:val="20"/>
        <w:szCs w:val="20"/>
      </w:rPr>
      <w:t xml:space="preserve">	VIMA 2.0 Model Non-Disclosure Agreement (2019 updated)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2026-02-18T12:29:09.802Z</dcterms:created>
  <dcterms:modified xsi:type="dcterms:W3CDTF">2026-02-18T12:29:09.802Z</dcterms:modified>
</cp:coreProperties>
</file>

<file path=docProps/custom.xml><?xml version="1.0" encoding="utf-8"?>
<Properties xmlns="http://schemas.openxmlformats.org/officeDocument/2006/custom-properties" xmlns:vt="http://schemas.openxmlformats.org/officeDocument/2006/docPropsVTypes"/>
</file>