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Singapore Law Watch</w:t>
      </w:r>
    </w:p>
    <w:p>
      <w:pPr>
        <w:spacing w:after="400"/>
        <w:jc w:val="center"/>
      </w:pPr>
      <w:r>
        <w:rPr>
          <w:color w:val="4a5568"/>
          <w:sz w:val="28"/>
          <w:szCs w:val="28"/>
        </w:rPr>
        <w:t xml:space="preserve">2025 Legal News Analysis Report</w:t>
      </w:r>
    </w:p>
    <w:p>
      <w:pPr>
        <w:spacing w:after="600"/>
        <w:jc w:val="center"/>
      </w:pPr>
      <w:r>
        <w:rPr>
          <w:color w:val="718096"/>
          <w:sz w:val="22"/>
          <w:szCs w:val="22"/>
        </w:rPr>
        <w:t xml:space="preserve">Analysis Period: April 15 - December 24, 2025 | 444 Articles</w:t>
      </w:r>
    </w:p>
    <w:p>
      <w:pPr>
        <w:pStyle w:val="Heading1"/>
      </w:pPr>
      <w:r>
        <w:t xml:space="preserve">Executive Summary</w:t>
      </w:r>
    </w:p>
    <w:p>
      <w:pPr>
        <w:spacing w:after="200"/>
      </w:pPr>
      <w:r>
        <w:t xml:space="preserve">This report analyzes 444 legal news articles published on Singapore Law Watch from April to December 2025. The analysis reveals significant trends in criminal justice, financial regulation, technology governance, and emerging areas of legal practice. Key findings indicate a substantial focus on scam prosecution, the landmark $3 billion money laundering case, and evolving regulatory frameworks for artificial intelligence.</w:t>
      </w:r>
    </w:p>
    <w:p>
      <w:pPr>
        <w:pStyle w:val="Heading1"/>
      </w:pPr>
      <w:r>
        <w:t xml:space="preserve">Dataset Overview</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EDF2F7" w:val="clear"/>
          </w:tcPr>
          <w:p>
            <w:r>
              <w:rPr>
                <w:b/>
                <w:bCs/>
              </w:rPr>
              <w:t xml:space="preserve">Metric</w:t>
            </w:r>
          </w:p>
        </w:tc>
        <w:tc>
          <w:tcPr>
            <w:tcW w:type="dxa" w:w="5860"/>
            <w:tcBorders>
              <w:top w:val="single" w:color="CCCCCC" w:sz="1"/>
              <w:left w:val="single" w:color="CCCCCC" w:sz="1"/>
              <w:bottom w:val="single" w:color="CCCCCC" w:sz="1"/>
              <w:right w:val="single" w:color="CCCCCC" w:sz="1"/>
            </w:tcBorders>
            <w:shd w:fill="EDF2F7" w:val="clear"/>
          </w:tcPr>
          <w:p>
            <w:r>
              <w:rPr>
                <w:b/>
                <w:bCs/>
              </w:rPr>
              <w:t xml:space="preserve">Value</w:t>
            </w:r>
          </w:p>
        </w:tc>
      </w:tr>
      <w:tr>
        <w:tc>
          <w:tcPr>
            <w:tcW w:type="dxa" w:w="3500"/>
            <w:tcBorders>
              <w:top w:val="single" w:color="CCCCCC" w:sz="1"/>
              <w:left w:val="single" w:color="CCCCCC" w:sz="1"/>
              <w:bottom w:val="single" w:color="CCCCCC" w:sz="1"/>
              <w:right w:val="single" w:color="CCCCCC" w:sz="1"/>
            </w:tcBorders>
          </w:tcPr>
          <w:p>
            <w:r>
              <w:t xml:space="preserve">Total Articles</w:t>
            </w:r>
          </w:p>
        </w:tc>
        <w:tc>
          <w:tcPr>
            <w:tcW w:type="dxa" w:w="5860"/>
            <w:tcBorders>
              <w:top w:val="single" w:color="CCCCCC" w:sz="1"/>
              <w:left w:val="single" w:color="CCCCCC" w:sz="1"/>
              <w:bottom w:val="single" w:color="CCCCCC" w:sz="1"/>
              <w:right w:val="single" w:color="CCCCCC" w:sz="1"/>
            </w:tcBorders>
          </w:tcPr>
          <w:p>
            <w:r>
              <w:t xml:space="preserve">444</w:t>
            </w:r>
          </w:p>
        </w:tc>
      </w:tr>
      <w:tr>
        <w:tc>
          <w:tcPr>
            <w:tcW w:type="dxa" w:w="3500"/>
            <w:tcBorders>
              <w:top w:val="single" w:color="CCCCCC" w:sz="1"/>
              <w:left w:val="single" w:color="CCCCCC" w:sz="1"/>
              <w:bottom w:val="single" w:color="CCCCCC" w:sz="1"/>
              <w:right w:val="single" w:color="CCCCCC" w:sz="1"/>
            </w:tcBorders>
          </w:tcPr>
          <w:p>
            <w:r>
              <w:t xml:space="preserve">Coverage Period</w:t>
            </w:r>
          </w:p>
        </w:tc>
        <w:tc>
          <w:tcPr>
            <w:tcW w:type="dxa" w:w="5860"/>
            <w:tcBorders>
              <w:top w:val="single" w:color="CCCCCC" w:sz="1"/>
              <w:left w:val="single" w:color="CCCCCC" w:sz="1"/>
              <w:bottom w:val="single" w:color="CCCCCC" w:sz="1"/>
              <w:right w:val="single" w:color="CCCCCC" w:sz="1"/>
            </w:tcBorders>
          </w:tcPr>
          <w:p>
            <w:r>
              <w:t xml:space="preserve">April 15 - December 24, 2025 (253 days)</w:t>
            </w:r>
          </w:p>
        </w:tc>
      </w:tr>
      <w:tr>
        <w:tc>
          <w:tcPr>
            <w:tcW w:type="dxa" w:w="3500"/>
            <w:tcBorders>
              <w:top w:val="single" w:color="CCCCCC" w:sz="1"/>
              <w:left w:val="single" w:color="CCCCCC" w:sz="1"/>
              <w:bottom w:val="single" w:color="CCCCCC" w:sz="1"/>
              <w:right w:val="single" w:color="CCCCCC" w:sz="1"/>
            </w:tcBorders>
          </w:tcPr>
          <w:p>
            <w:r>
              <w:t xml:space="preserve">Primary Source</w:t>
            </w:r>
          </w:p>
        </w:tc>
        <w:tc>
          <w:tcPr>
            <w:tcW w:type="dxa" w:w="5860"/>
            <w:tcBorders>
              <w:top w:val="single" w:color="CCCCCC" w:sz="1"/>
              <w:left w:val="single" w:color="CCCCCC" w:sz="1"/>
              <w:bottom w:val="single" w:color="CCCCCC" w:sz="1"/>
              <w:right w:val="single" w:color="CCCCCC" w:sz="1"/>
            </w:tcBorders>
          </w:tcPr>
          <w:p>
            <w:r>
              <w:t xml:space="preserve">Straits Times (340 articles, 76.6%)</w:t>
            </w:r>
          </w:p>
        </w:tc>
      </w:tr>
      <w:tr>
        <w:tc>
          <w:tcPr>
            <w:tcW w:type="dxa" w:w="3500"/>
            <w:tcBorders>
              <w:top w:val="single" w:color="CCCCCC" w:sz="1"/>
              <w:left w:val="single" w:color="CCCCCC" w:sz="1"/>
              <w:bottom w:val="single" w:color="CCCCCC" w:sz="1"/>
              <w:right w:val="single" w:color="CCCCCC" w:sz="1"/>
            </w:tcBorders>
          </w:tcPr>
          <w:p>
            <w:r>
              <w:t xml:space="preserve">Secondary Source</w:t>
            </w:r>
          </w:p>
        </w:tc>
        <w:tc>
          <w:tcPr>
            <w:tcW w:type="dxa" w:w="5860"/>
            <w:tcBorders>
              <w:top w:val="single" w:color="CCCCCC" w:sz="1"/>
              <w:left w:val="single" w:color="CCCCCC" w:sz="1"/>
              <w:bottom w:val="single" w:color="CCCCCC" w:sz="1"/>
              <w:right w:val="single" w:color="CCCCCC" w:sz="1"/>
            </w:tcBorders>
          </w:tcPr>
          <w:p>
            <w:r>
              <w:t xml:space="preserve">Business Times (95 articles, 21.4%)</w:t>
            </w:r>
          </w:p>
        </w:tc>
      </w:tr>
      <w:tr>
        <w:tc>
          <w:tcPr>
            <w:tcW w:type="dxa" w:w="3500"/>
            <w:tcBorders>
              <w:top w:val="single" w:color="CCCCCC" w:sz="1"/>
              <w:left w:val="single" w:color="CCCCCC" w:sz="1"/>
              <w:bottom w:val="single" w:color="CCCCCC" w:sz="1"/>
              <w:right w:val="single" w:color="CCCCCC" w:sz="1"/>
            </w:tcBorders>
          </w:tcPr>
          <w:p>
            <w:r>
              <w:t xml:space="preserve">Top Reporter</w:t>
            </w:r>
          </w:p>
        </w:tc>
        <w:tc>
          <w:tcPr>
            <w:tcW w:type="dxa" w:w="5860"/>
            <w:tcBorders>
              <w:top w:val="single" w:color="CCCCCC" w:sz="1"/>
              <w:left w:val="single" w:color="CCCCCC" w:sz="1"/>
              <w:bottom w:val="single" w:color="CCCCCC" w:sz="1"/>
              <w:right w:val="single" w:color="CCCCCC" w:sz="1"/>
            </w:tcBorders>
          </w:tcPr>
          <w:p>
            <w:r>
              <w:t xml:space="preserve">Selina Lum, Straits Times (64 articles)</w:t>
            </w:r>
          </w:p>
        </w:tc>
      </w:tr>
    </w:tbl>
    <w:p>
      <w:pPr>
        <w:pStyle w:val="Heading1"/>
      </w:pPr>
      <w:r>
        <w:t xml:space="preserve">Major Themes Analysis</w:t>
      </w:r>
    </w:p>
    <w:p>
      <w:pPr>
        <w:spacing w:after="200"/>
      </w:pPr>
      <w:r>
        <w:t xml:space="preserve">The following table shows the distribution of legal news coverage by theme. Articles may appear in multiple categories where relevant.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2c5282" w:val="clear"/>
          </w:tcPr>
          <w:p>
            <w:r>
              <w:rPr>
                <w:b/>
                <w:bCs/>
                <w:color w:val="FFFFFF"/>
              </w:rPr>
              <w:t xml:space="preserve">Theme</w:t>
            </w:r>
          </w:p>
        </w:tc>
        <w:tc>
          <w:tcPr>
            <w:tcW w:type="dxa" w:w="2340"/>
            <w:tcBorders>
              <w:top w:val="single" w:color="CCCCCC" w:sz="1"/>
              <w:left w:val="single" w:color="CCCCCC" w:sz="1"/>
              <w:bottom w:val="single" w:color="CCCCCC" w:sz="1"/>
              <w:right w:val="single" w:color="CCCCCC" w:sz="1"/>
            </w:tcBorders>
            <w:shd w:fill="2c5282" w:val="clear"/>
          </w:tcPr>
          <w:p>
            <w:pPr>
              <w:jc w:val="center"/>
            </w:pPr>
            <w:r>
              <w:rPr>
                <w:b/>
                <w:bCs/>
                <w:color w:val="FFFFFF"/>
              </w:rPr>
              <w:t xml:space="preserve">Articles</w:t>
            </w:r>
          </w:p>
        </w:tc>
        <w:tc>
          <w:tcPr>
            <w:tcW w:type="dxa" w:w="2340"/>
            <w:tcBorders>
              <w:top w:val="single" w:color="CCCCCC" w:sz="1"/>
              <w:left w:val="single" w:color="CCCCCC" w:sz="1"/>
              <w:bottom w:val="single" w:color="CCCCCC" w:sz="1"/>
              <w:right w:val="single" w:color="CCCCCC" w:sz="1"/>
            </w:tcBorders>
            <w:shd w:fill="2c5282" w:val="clear"/>
          </w:tcPr>
          <w:p>
            <w:pPr>
              <w:jc w:val="center"/>
            </w:pPr>
            <w:r>
              <w:rPr>
                <w:b/>
                <w:bCs/>
                <w:color w:val="FFFFFF"/>
              </w:rPr>
              <w:t xml:space="preserve">% of Total</w:t>
            </w:r>
          </w:p>
        </w:tc>
      </w:tr>
      <w:tr>
        <w:tc>
          <w:tcPr>
            <w:tcW w:type="dxa" w:w="4680"/>
            <w:tcBorders>
              <w:top w:val="single" w:color="CCCCCC" w:sz="1"/>
              <w:left w:val="single" w:color="CCCCCC" w:sz="1"/>
              <w:bottom w:val="single" w:color="CCCCCC" w:sz="1"/>
              <w:right w:val="single" w:color="CCCCCC" w:sz="1"/>
            </w:tcBorders>
          </w:tcPr>
          <w:p>
            <w:r>
              <w:t xml:space="preserve">Criminal Sentencing</w:t>
            </w:r>
          </w:p>
        </w:tc>
        <w:tc>
          <w:tcPr>
            <w:tcW w:type="dxa" w:w="2340"/>
            <w:tcBorders>
              <w:top w:val="single" w:color="CCCCCC" w:sz="1"/>
              <w:left w:val="single" w:color="CCCCCC" w:sz="1"/>
              <w:bottom w:val="single" w:color="CCCCCC" w:sz="1"/>
              <w:right w:val="single" w:color="CCCCCC" w:sz="1"/>
            </w:tcBorders>
          </w:tcPr>
          <w:p>
            <w:pPr>
              <w:jc w:val="center"/>
            </w:pPr>
            <w:r>
              <w:t xml:space="preserve">138</w:t>
            </w:r>
          </w:p>
        </w:tc>
        <w:tc>
          <w:tcPr>
            <w:tcW w:type="dxa" w:w="2340"/>
            <w:tcBorders>
              <w:top w:val="single" w:color="CCCCCC" w:sz="1"/>
              <w:left w:val="single" w:color="CCCCCC" w:sz="1"/>
              <w:bottom w:val="single" w:color="CCCCCC" w:sz="1"/>
              <w:right w:val="single" w:color="CCCCCC" w:sz="1"/>
            </w:tcBorders>
          </w:tcPr>
          <w:p>
            <w:pPr>
              <w:jc w:val="center"/>
            </w:pPr>
            <w:r>
              <w:t xml:space="preserve">31.1%</w:t>
            </w:r>
          </w:p>
        </w:tc>
      </w:tr>
      <w:tr>
        <w:tc>
          <w:tcPr>
            <w:tcW w:type="dxa" w:w="4680"/>
            <w:tcBorders>
              <w:top w:val="single" w:color="CCCCCC" w:sz="1"/>
              <w:left w:val="single" w:color="CCCCCC" w:sz="1"/>
              <w:bottom w:val="single" w:color="CCCCCC" w:sz="1"/>
              <w:right w:val="single" w:color="CCCCCC" w:sz="1"/>
            </w:tcBorders>
          </w:tcPr>
          <w:p>
            <w:r>
              <w:t xml:space="preserve">Corporate/Insolvency</w:t>
            </w:r>
          </w:p>
        </w:tc>
        <w:tc>
          <w:tcPr>
            <w:tcW w:type="dxa" w:w="2340"/>
            <w:tcBorders>
              <w:top w:val="single" w:color="CCCCCC" w:sz="1"/>
              <w:left w:val="single" w:color="CCCCCC" w:sz="1"/>
              <w:bottom w:val="single" w:color="CCCCCC" w:sz="1"/>
              <w:right w:val="single" w:color="CCCCCC" w:sz="1"/>
            </w:tcBorders>
          </w:tcPr>
          <w:p>
            <w:pPr>
              <w:jc w:val="center"/>
            </w:pPr>
            <w:r>
              <w:t xml:space="preserve">89</w:t>
            </w:r>
          </w:p>
        </w:tc>
        <w:tc>
          <w:tcPr>
            <w:tcW w:type="dxa" w:w="2340"/>
            <w:tcBorders>
              <w:top w:val="single" w:color="CCCCCC" w:sz="1"/>
              <w:left w:val="single" w:color="CCCCCC" w:sz="1"/>
              <w:bottom w:val="single" w:color="CCCCCC" w:sz="1"/>
              <w:right w:val="single" w:color="CCCCCC" w:sz="1"/>
            </w:tcBorders>
          </w:tcPr>
          <w:p>
            <w:pPr>
              <w:jc w:val="center"/>
            </w:pPr>
            <w:r>
              <w:t xml:space="preserve">20.0%</w:t>
            </w:r>
          </w:p>
        </w:tc>
      </w:tr>
      <w:tr>
        <w:tc>
          <w:tcPr>
            <w:tcW w:type="dxa" w:w="4680"/>
            <w:tcBorders>
              <w:top w:val="single" w:color="CCCCCC" w:sz="1"/>
              <w:left w:val="single" w:color="CCCCCC" w:sz="1"/>
              <w:bottom w:val="single" w:color="CCCCCC" w:sz="1"/>
              <w:right w:val="single" w:color="CCCCCC" w:sz="1"/>
            </w:tcBorders>
          </w:tcPr>
          <w:p>
            <w:r>
              <w:t xml:space="preserve">Scams &amp; Fraud</w:t>
            </w:r>
          </w:p>
        </w:tc>
        <w:tc>
          <w:tcPr>
            <w:tcW w:type="dxa" w:w="2340"/>
            <w:tcBorders>
              <w:top w:val="single" w:color="CCCCCC" w:sz="1"/>
              <w:left w:val="single" w:color="CCCCCC" w:sz="1"/>
              <w:bottom w:val="single" w:color="CCCCCC" w:sz="1"/>
              <w:right w:val="single" w:color="CCCCCC" w:sz="1"/>
            </w:tcBorders>
          </w:tcPr>
          <w:p>
            <w:pPr>
              <w:jc w:val="center"/>
            </w:pPr>
            <w:r>
              <w:t xml:space="preserve">70</w:t>
            </w:r>
          </w:p>
        </w:tc>
        <w:tc>
          <w:tcPr>
            <w:tcW w:type="dxa" w:w="2340"/>
            <w:tcBorders>
              <w:top w:val="single" w:color="CCCCCC" w:sz="1"/>
              <w:left w:val="single" w:color="CCCCCC" w:sz="1"/>
              <w:bottom w:val="single" w:color="CCCCCC" w:sz="1"/>
              <w:right w:val="single" w:color="CCCCCC" w:sz="1"/>
            </w:tcBorders>
          </w:tcPr>
          <w:p>
            <w:pPr>
              <w:jc w:val="center"/>
            </w:pPr>
            <w:r>
              <w:t xml:space="preserve">15.8%</w:t>
            </w:r>
          </w:p>
        </w:tc>
      </w:tr>
      <w:tr>
        <w:tc>
          <w:tcPr>
            <w:tcW w:type="dxa" w:w="4680"/>
            <w:tcBorders>
              <w:top w:val="single" w:color="CCCCCC" w:sz="1"/>
              <w:left w:val="single" w:color="CCCCCC" w:sz="1"/>
              <w:bottom w:val="single" w:color="CCCCCC" w:sz="1"/>
              <w:right w:val="single" w:color="CCCCCC" w:sz="1"/>
            </w:tcBorders>
          </w:tcPr>
          <w:p>
            <w:r>
              <w:t xml:space="preserve">Financial Services</w:t>
            </w:r>
          </w:p>
        </w:tc>
        <w:tc>
          <w:tcPr>
            <w:tcW w:type="dxa" w:w="2340"/>
            <w:tcBorders>
              <w:top w:val="single" w:color="CCCCCC" w:sz="1"/>
              <w:left w:val="single" w:color="CCCCCC" w:sz="1"/>
              <w:bottom w:val="single" w:color="CCCCCC" w:sz="1"/>
              <w:right w:val="single" w:color="CCCCCC" w:sz="1"/>
            </w:tcBorders>
          </w:tcPr>
          <w:p>
            <w:pPr>
              <w:jc w:val="center"/>
            </w:pPr>
            <w:r>
              <w:t xml:space="preserve">63</w:t>
            </w:r>
          </w:p>
        </w:tc>
        <w:tc>
          <w:tcPr>
            <w:tcW w:type="dxa" w:w="2340"/>
            <w:tcBorders>
              <w:top w:val="single" w:color="CCCCCC" w:sz="1"/>
              <w:left w:val="single" w:color="CCCCCC" w:sz="1"/>
              <w:bottom w:val="single" w:color="CCCCCC" w:sz="1"/>
              <w:right w:val="single" w:color="CCCCCC" w:sz="1"/>
            </w:tcBorders>
          </w:tcPr>
          <w:p>
            <w:pPr>
              <w:jc w:val="center"/>
            </w:pPr>
            <w:r>
              <w:t xml:space="preserve">14.2%</w:t>
            </w:r>
          </w:p>
        </w:tc>
      </w:tr>
      <w:tr>
        <w:tc>
          <w:tcPr>
            <w:tcW w:type="dxa" w:w="4680"/>
            <w:tcBorders>
              <w:top w:val="single" w:color="CCCCCC" w:sz="1"/>
              <w:left w:val="single" w:color="CCCCCC" w:sz="1"/>
              <w:bottom w:val="single" w:color="CCCCCC" w:sz="1"/>
              <w:right w:val="single" w:color="CCCCCC" w:sz="1"/>
            </w:tcBorders>
          </w:tcPr>
          <w:p>
            <w:r>
              <w:t xml:space="preserve">Property/Real Estate</w:t>
            </w:r>
          </w:p>
        </w:tc>
        <w:tc>
          <w:tcPr>
            <w:tcW w:type="dxa" w:w="2340"/>
            <w:tcBorders>
              <w:top w:val="single" w:color="CCCCCC" w:sz="1"/>
              <w:left w:val="single" w:color="CCCCCC" w:sz="1"/>
              <w:bottom w:val="single" w:color="CCCCCC" w:sz="1"/>
              <w:right w:val="single" w:color="CCCCCC" w:sz="1"/>
            </w:tcBorders>
          </w:tcPr>
          <w:p>
            <w:pPr>
              <w:jc w:val="center"/>
            </w:pPr>
            <w:r>
              <w:t xml:space="preserve">46</w:t>
            </w:r>
          </w:p>
        </w:tc>
        <w:tc>
          <w:tcPr>
            <w:tcW w:type="dxa" w:w="2340"/>
            <w:tcBorders>
              <w:top w:val="single" w:color="CCCCCC" w:sz="1"/>
              <w:left w:val="single" w:color="CCCCCC" w:sz="1"/>
              <w:bottom w:val="single" w:color="CCCCCC" w:sz="1"/>
              <w:right w:val="single" w:color="CCCCCC" w:sz="1"/>
            </w:tcBorders>
          </w:tcPr>
          <w:p>
            <w:pPr>
              <w:jc w:val="center"/>
            </w:pPr>
            <w:r>
              <w:t xml:space="preserve">10.4%</w:t>
            </w:r>
          </w:p>
        </w:tc>
      </w:tr>
      <w:tr>
        <w:tc>
          <w:tcPr>
            <w:tcW w:type="dxa" w:w="4680"/>
            <w:tcBorders>
              <w:top w:val="single" w:color="CCCCCC" w:sz="1"/>
              <w:left w:val="single" w:color="CCCCCC" w:sz="1"/>
              <w:bottom w:val="single" w:color="CCCCCC" w:sz="1"/>
              <w:right w:val="single" w:color="CCCCCC" w:sz="1"/>
            </w:tcBorders>
          </w:tcPr>
          <w:p>
            <w:r>
              <w:t xml:space="preserve">Legal Profession</w:t>
            </w:r>
          </w:p>
        </w:tc>
        <w:tc>
          <w:tcPr>
            <w:tcW w:type="dxa" w:w="2340"/>
            <w:tcBorders>
              <w:top w:val="single" w:color="CCCCCC" w:sz="1"/>
              <w:left w:val="single" w:color="CCCCCC" w:sz="1"/>
              <w:bottom w:val="single" w:color="CCCCCC" w:sz="1"/>
              <w:right w:val="single" w:color="CCCCCC" w:sz="1"/>
            </w:tcBorders>
          </w:tcPr>
          <w:p>
            <w:pPr>
              <w:jc w:val="center"/>
            </w:pPr>
            <w:r>
              <w:t xml:space="preserve">41</w:t>
            </w:r>
          </w:p>
        </w:tc>
        <w:tc>
          <w:tcPr>
            <w:tcW w:type="dxa" w:w="2340"/>
            <w:tcBorders>
              <w:top w:val="single" w:color="CCCCCC" w:sz="1"/>
              <w:left w:val="single" w:color="CCCCCC" w:sz="1"/>
              <w:bottom w:val="single" w:color="CCCCCC" w:sz="1"/>
              <w:right w:val="single" w:color="CCCCCC" w:sz="1"/>
            </w:tcBorders>
          </w:tcPr>
          <w:p>
            <w:pPr>
              <w:jc w:val="center"/>
            </w:pPr>
            <w:r>
              <w:t xml:space="preserve">9.2%</w:t>
            </w:r>
          </w:p>
        </w:tc>
      </w:tr>
      <w:tr>
        <w:tc>
          <w:tcPr>
            <w:tcW w:type="dxa" w:w="4680"/>
            <w:tcBorders>
              <w:top w:val="single" w:color="CCCCCC" w:sz="1"/>
              <w:left w:val="single" w:color="CCCCCC" w:sz="1"/>
              <w:bottom w:val="single" w:color="CCCCCC" w:sz="1"/>
              <w:right w:val="single" w:color="CCCCCC" w:sz="1"/>
            </w:tcBorders>
          </w:tcPr>
          <w:p>
            <w:r>
              <w:t xml:space="preserve">AI &amp; Technology</w:t>
            </w:r>
          </w:p>
        </w:tc>
        <w:tc>
          <w:tcPr>
            <w:tcW w:type="dxa" w:w="2340"/>
            <w:tcBorders>
              <w:top w:val="single" w:color="CCCCCC" w:sz="1"/>
              <w:left w:val="single" w:color="CCCCCC" w:sz="1"/>
              <w:bottom w:val="single" w:color="CCCCCC" w:sz="1"/>
              <w:right w:val="single" w:color="CCCCCC" w:sz="1"/>
            </w:tcBorders>
          </w:tcPr>
          <w:p>
            <w:pPr>
              <w:jc w:val="center"/>
            </w:pPr>
            <w:r>
              <w:t xml:space="preserve">33</w:t>
            </w:r>
          </w:p>
        </w:tc>
        <w:tc>
          <w:tcPr>
            <w:tcW w:type="dxa" w:w="2340"/>
            <w:tcBorders>
              <w:top w:val="single" w:color="CCCCCC" w:sz="1"/>
              <w:left w:val="single" w:color="CCCCCC" w:sz="1"/>
              <w:bottom w:val="single" w:color="CCCCCC" w:sz="1"/>
              <w:right w:val="single" w:color="CCCCCC" w:sz="1"/>
            </w:tcBorders>
          </w:tcPr>
          <w:p>
            <w:pPr>
              <w:jc w:val="center"/>
            </w:pPr>
            <w:r>
              <w:t xml:space="preserve">7.4%</w:t>
            </w:r>
          </w:p>
        </w:tc>
      </w:tr>
      <w:tr>
        <w:tc>
          <w:tcPr>
            <w:tcW w:type="dxa" w:w="4680"/>
            <w:tcBorders>
              <w:top w:val="single" w:color="CCCCCC" w:sz="1"/>
              <w:left w:val="single" w:color="CCCCCC" w:sz="1"/>
              <w:bottom w:val="single" w:color="CCCCCC" w:sz="1"/>
              <w:right w:val="single" w:color="CCCCCC" w:sz="1"/>
            </w:tcBorders>
          </w:tcPr>
          <w:p>
            <w:r>
              <w:t xml:space="preserve">Money Laundering</w:t>
            </w:r>
          </w:p>
        </w:tc>
        <w:tc>
          <w:tcPr>
            <w:tcW w:type="dxa" w:w="2340"/>
            <w:tcBorders>
              <w:top w:val="single" w:color="CCCCCC" w:sz="1"/>
              <w:left w:val="single" w:color="CCCCCC" w:sz="1"/>
              <w:bottom w:val="single" w:color="CCCCCC" w:sz="1"/>
              <w:right w:val="single" w:color="CCCCCC" w:sz="1"/>
            </w:tcBorders>
          </w:tcPr>
          <w:p>
            <w:pPr>
              <w:jc w:val="center"/>
            </w:pPr>
            <w:r>
              <w:t xml:space="preserve">29</w:t>
            </w:r>
          </w:p>
        </w:tc>
        <w:tc>
          <w:tcPr>
            <w:tcW w:type="dxa" w:w="2340"/>
            <w:tcBorders>
              <w:top w:val="single" w:color="CCCCCC" w:sz="1"/>
              <w:left w:val="single" w:color="CCCCCC" w:sz="1"/>
              <w:bottom w:val="single" w:color="CCCCCC" w:sz="1"/>
              <w:right w:val="single" w:color="CCCCCC" w:sz="1"/>
            </w:tcBorders>
          </w:tcPr>
          <w:p>
            <w:pPr>
              <w:jc w:val="center"/>
            </w:pPr>
            <w:r>
              <w:t xml:space="preserve">6.5%</w:t>
            </w:r>
          </w:p>
        </w:tc>
      </w:tr>
    </w:tbl>
    <w:p>
      <w:pPr>
        <w:pStyle w:val="Heading1"/>
      </w:pPr>
      <w:r>
        <w:t xml:space="preserve">Key Trends &amp; Findings</w:t>
      </w:r>
    </w:p>
    <w:p>
      <w:pPr>
        <w:pStyle w:val="Heading2"/>
      </w:pPr>
      <w:r>
        <w:t xml:space="preserve">1. Scams &amp; Fraud Enforcement Surge</w:t>
      </w:r>
    </w:p>
    <w:p>
      <w:pPr>
        <w:spacing w:after="200"/>
      </w:pPr>
      <w:r>
        <w:t xml:space="preserve">With 70 articles covering scams and fraud, this represents the third-largest theme in legal news. Notable trends include:</w:t>
      </w:r>
    </w:p>
    <w:p>
      <w:pPr>
        <w:pStyle w:val="ListParagraph"/>
        <w:numPr>
          <w:ilvl w:val="0"/>
          <w:numId w:val="2"/>
        </w:numPr>
      </w:pPr>
      <w:r>
        <w:rPr>
          <w:b/>
          <w:bCs/>
        </w:rPr>
        <w:t xml:space="preserve">Rising enforcement: </w:t>
      </w:r>
      <w:r>
        <w:t xml:space="preserve">239 people under police investigation in a single December operation involving $5 million in losses</w:t>
      </w:r>
    </w:p>
    <w:p>
      <w:pPr>
        <w:pStyle w:val="ListParagraph"/>
        <w:numPr>
          <w:ilvl w:val="0"/>
          <w:numId w:val="2"/>
        </w:numPr>
      </w:pPr>
      <w:r>
        <w:rPr>
          <w:b/>
          <w:bCs/>
        </w:rPr>
        <w:t xml:space="preserve">New legislation: </w:t>
      </w:r>
      <w:r>
        <w:t xml:space="preserve">Criminal Law (Miscellaneous Amendments) Bill introducing mandatory caning for syndicate members</w:t>
      </w:r>
    </w:p>
    <w:p>
      <w:pPr>
        <w:pStyle w:val="ListParagraph"/>
        <w:numPr>
          <w:ilvl w:val="0"/>
          <w:numId w:val="2"/>
        </w:numPr>
      </w:pPr>
      <w:r>
        <w:rPr>
          <w:b/>
          <w:bCs/>
        </w:rPr>
        <w:t xml:space="preserve">Platform regulation: </w:t>
      </w:r>
      <w:r>
        <w:t xml:space="preserve">Online Criminal Harms Act directives requiring Apple and Google to block government impersonation</w:t>
      </w:r>
    </w:p>
    <w:p>
      <w:pPr>
        <w:pStyle w:val="ListParagraph"/>
        <w:numPr>
          <w:ilvl w:val="0"/>
          <w:numId w:val="2"/>
        </w:numPr>
        <w:spacing w:after="200"/>
      </w:pPr>
      <w:r>
        <w:rPr>
          <w:b/>
          <w:bCs/>
        </w:rPr>
        <w:t xml:space="preserve">Fidrec spike: </w:t>
      </w:r>
      <w:r>
        <w:t xml:space="preserve">20-year high in financial disputes with scam-related cases up 55%</w:t>
      </w:r>
    </w:p>
    <w:p>
      <w:pPr>
        <w:pStyle w:val="Heading2"/>
      </w:pPr>
      <w:r>
        <w:t xml:space="preserve">2. The $3 Billion Money Laundering Case</w:t>
      </w:r>
    </w:p>
    <w:p>
      <w:pPr>
        <w:spacing w:after="200"/>
      </w:pPr>
      <w:r>
        <w:t xml:space="preserve">Singapore's largest money laundering case generated sustained coverage throughout 2025 with 7+ dedicated articles:</w:t>
      </w:r>
    </w:p>
    <w:p>
      <w:pPr>
        <w:pStyle w:val="ListParagraph"/>
        <w:numPr>
          <w:ilvl w:val="0"/>
          <w:numId w:val="2"/>
        </w:numPr>
      </w:pPr>
      <w:r>
        <w:t xml:space="preserve">$27.45 million in penalties issued to 9 financial institutions (July 2025)</w:t>
      </w:r>
    </w:p>
    <w:p>
      <w:pPr>
        <w:pStyle w:val="ListParagraph"/>
        <w:numPr>
          <w:ilvl w:val="0"/>
          <w:numId w:val="2"/>
        </w:numPr>
      </w:pPr>
      <w:r>
        <w:t xml:space="preserve">MinLaw action against 4 law firms and 1 lawyer for compliance failures</w:t>
      </w:r>
    </w:p>
    <w:p>
      <w:pPr>
        <w:pStyle w:val="ListParagraph"/>
        <w:numPr>
          <w:ilvl w:val="0"/>
          <w:numId w:val="2"/>
        </w:numPr>
      </w:pPr>
      <w:r>
        <w:t xml:space="preserve">8 companies blacklisted over links to fugitives Su Binghai and Xu Haika</w:t>
      </w:r>
    </w:p>
    <w:p>
      <w:pPr>
        <w:pStyle w:val="ListParagraph"/>
        <w:numPr>
          <w:ilvl w:val="0"/>
          <w:numId w:val="2"/>
        </w:numPr>
        <w:spacing w:after="200"/>
      </w:pPr>
      <w:r>
        <w:t xml:space="preserve">Proposed legislation to bar convicted money launderers from directorships</w:t>
      </w:r>
    </w:p>
    <w:p>
      <w:pPr>
        <w:pStyle w:val="Heading2"/>
      </w:pPr>
      <w:r>
        <w:t xml:space="preserve">3. AI Governance &amp; Legal Technology</w:t>
      </w:r>
    </w:p>
    <w:p>
      <w:pPr>
        <w:spacing w:after="200"/>
      </w:pPr>
      <w:r>
        <w:t xml:space="preserve">33 articles addressed AI and technology law, with a clear trajectory from adoption enthusiasm to risk management:</w:t>
      </w:r>
    </w:p>
    <w:p>
      <w:pPr>
        <w:pStyle w:val="ListParagraph"/>
        <w:numPr>
          <w:ilvl w:val="0"/>
          <w:numId w:val="2"/>
        </w:numPr>
      </w:pPr>
      <w:r>
        <w:rPr>
          <w:b/>
          <w:bCs/>
        </w:rPr>
        <w:t xml:space="preserve">AI hallucination liability: </w:t>
      </w:r>
      <w:r>
        <w:t xml:space="preserve">Singapore courts ordered lawyer to pay $800 for citing AI-fabricated case</w:t>
      </w:r>
    </w:p>
    <w:p>
      <w:pPr>
        <w:pStyle w:val="ListParagraph"/>
        <w:numPr>
          <w:ilvl w:val="0"/>
          <w:numId w:val="2"/>
        </w:numPr>
      </w:pPr>
      <w:r>
        <w:rPr>
          <w:b/>
          <w:bCs/>
        </w:rPr>
        <w:t xml:space="preserve">Firm policies: </w:t>
      </w:r>
      <w:r>
        <w:t xml:space="preserve">Law firms now treating GenAI breaches as potentially sackable offences</w:t>
      </w:r>
    </w:p>
    <w:p>
      <w:pPr>
        <w:pStyle w:val="ListParagraph"/>
        <w:numPr>
          <w:ilvl w:val="0"/>
          <w:numId w:val="2"/>
        </w:numPr>
      </w:pPr>
      <w:r>
        <w:rPr>
          <w:b/>
          <w:bCs/>
        </w:rPr>
        <w:t xml:space="preserve">Training initiatives: </w:t>
      </w:r>
      <w:r>
        <w:t xml:space="preserve">SAL launched Junior Lawyers Professional Certification Programme with AI ethics modules</w:t>
      </w:r>
    </w:p>
    <w:p>
      <w:pPr>
        <w:pStyle w:val="ListParagraph"/>
        <w:numPr>
          <w:ilvl w:val="0"/>
          <w:numId w:val="2"/>
        </w:numPr>
        <w:spacing w:after="200"/>
      </w:pPr>
      <w:r>
        <w:rPr>
          <w:b/>
          <w:bCs/>
        </w:rPr>
        <w:t xml:space="preserve">Regulatory direction: </w:t>
      </w:r>
      <w:r>
        <w:t xml:space="preserve">Singapore pursuing incremental, sector-specific AI regulation rather than comprehensive AI Act</w:t>
      </w:r>
    </w:p>
    <w:p>
      <w:pPr>
        <w:pStyle w:val="Heading2"/>
      </w:pPr>
      <w:r>
        <w:t xml:space="preserve">4. Property Scheme Litigation</w:t>
      </w:r>
    </w:p>
    <w:p>
      <w:pPr>
        <w:spacing w:after="200"/>
      </w:pPr>
      <w:r>
        <w:t xml:space="preserve">The "99-1" property scheme emerged as a significant litigation trend with 4+ articles covering lawsuits against property agents and law firms for alleged stamp duty avoidance structures that IRAS has challenged as illegal.</w:t>
      </w:r>
    </w:p>
    <w:p>
      <w:pPr>
        <w:pStyle w:val="Heading1"/>
      </w:pPr>
      <w:r>
        <w:t xml:space="preserve">Major Ongoing Cases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360"/>
      </w:tblGrid>
      <w:tr>
        <w:tc>
          <w:tcPr>
            <w:tcW w:type="dxa" w:w="3500"/>
            <w:tcBorders>
              <w:top w:val="single" w:color="CCCCCC" w:sz="1"/>
              <w:left w:val="single" w:color="CCCCCC" w:sz="1"/>
              <w:bottom w:val="single" w:color="CCCCCC" w:sz="1"/>
              <w:right w:val="single" w:color="CCCCCC" w:sz="1"/>
            </w:tcBorders>
            <w:shd w:fill="EDF2F7" w:val="clear"/>
          </w:tcPr>
          <w:p>
            <w:r>
              <w:rPr>
                <w:b/>
                <w:bCs/>
              </w:rPr>
              <w:t xml:space="preserve">Case</w:t>
            </w:r>
          </w:p>
        </w:tc>
        <w:tc>
          <w:tcPr>
            <w:tcW w:type="dxa" w:w="1500"/>
            <w:tcBorders>
              <w:top w:val="single" w:color="CCCCCC" w:sz="1"/>
              <w:left w:val="single" w:color="CCCCCC" w:sz="1"/>
              <w:bottom w:val="single" w:color="CCCCCC" w:sz="1"/>
              <w:right w:val="single" w:color="CCCCCC" w:sz="1"/>
            </w:tcBorders>
            <w:shd w:fill="EDF2F7" w:val="clear"/>
          </w:tcPr>
          <w:p>
            <w:pPr>
              <w:jc w:val="center"/>
            </w:pPr>
            <w:r>
              <w:rPr>
                <w:b/>
                <w:bCs/>
              </w:rPr>
              <w:t xml:space="preserve">Articles</w:t>
            </w:r>
          </w:p>
        </w:tc>
        <w:tc>
          <w:tcPr>
            <w:tcW w:type="dxa" w:w="4360"/>
            <w:tcBorders>
              <w:top w:val="single" w:color="CCCCCC" w:sz="1"/>
              <w:left w:val="single" w:color="CCCCCC" w:sz="1"/>
              <w:bottom w:val="single" w:color="CCCCCC" w:sz="1"/>
              <w:right w:val="single" w:color="CCCCCC" w:sz="1"/>
            </w:tcBorders>
            <w:shd w:fill="EDF2F7" w:val="clear"/>
          </w:tcPr>
          <w:p>
            <w:r>
              <w:rPr>
                <w:b/>
                <w:bCs/>
              </w:rPr>
              <w:t xml:space="preserve">Key Development</w:t>
            </w:r>
          </w:p>
        </w:tc>
      </w:tr>
      <w:tr>
        <w:tc>
          <w:tcPr>
            <w:tcW w:type="dxa" w:w="3500"/>
            <w:tcBorders>
              <w:top w:val="single" w:color="CCCCCC" w:sz="1"/>
              <w:left w:val="single" w:color="CCCCCC" w:sz="1"/>
              <w:bottom w:val="single" w:color="CCCCCC" w:sz="1"/>
              <w:right w:val="single" w:color="CCCCCC" w:sz="1"/>
            </w:tcBorders>
          </w:tcPr>
          <w:p>
            <w:r>
              <w:t xml:space="preserve">$3B Money Laundering</w:t>
            </w:r>
          </w:p>
        </w:tc>
        <w:tc>
          <w:tcPr>
            <w:tcW w:type="dxa" w:w="1500"/>
            <w:tcBorders>
              <w:top w:val="single" w:color="CCCCCC" w:sz="1"/>
              <w:left w:val="single" w:color="CCCCCC" w:sz="1"/>
              <w:bottom w:val="single" w:color="CCCCCC" w:sz="1"/>
              <w:right w:val="single" w:color="CCCCCC" w:sz="1"/>
            </w:tcBorders>
          </w:tcPr>
          <w:p>
            <w:pPr>
              <w:jc w:val="center"/>
            </w:pPr>
            <w:r>
              <w:t xml:space="preserve">7</w:t>
            </w:r>
          </w:p>
        </w:tc>
        <w:tc>
          <w:tcPr>
            <w:tcW w:type="dxa" w:w="4360"/>
            <w:tcBorders>
              <w:top w:val="single" w:color="CCCCCC" w:sz="1"/>
              <w:left w:val="single" w:color="CCCCCC" w:sz="1"/>
              <w:bottom w:val="single" w:color="CCCCCC" w:sz="1"/>
              <w:right w:val="single" w:color="CCCCCC" w:sz="1"/>
            </w:tcBorders>
          </w:tcPr>
          <w:p>
            <w:r>
              <w:t xml:space="preserve">Companies blacklisted, professionals sanctioned</w:t>
            </w:r>
          </w:p>
        </w:tc>
      </w:tr>
      <w:tr>
        <w:tc>
          <w:tcPr>
            <w:tcW w:type="dxa" w:w="3500"/>
            <w:tcBorders>
              <w:top w:val="single" w:color="CCCCCC" w:sz="1"/>
              <w:left w:val="single" w:color="CCCCCC" w:sz="1"/>
              <w:bottom w:val="single" w:color="CCCCCC" w:sz="1"/>
              <w:right w:val="single" w:color="CCCCCC" w:sz="1"/>
            </w:tcBorders>
          </w:tcPr>
          <w:p>
            <w:r>
              <w:t xml:space="preserve">1MDB / StanChart Suit</w:t>
            </w:r>
          </w:p>
        </w:tc>
        <w:tc>
          <w:tcPr>
            <w:tcW w:type="dxa" w:w="1500"/>
            <w:tcBorders>
              <w:top w:val="single" w:color="CCCCCC" w:sz="1"/>
              <w:left w:val="single" w:color="CCCCCC" w:sz="1"/>
              <w:bottom w:val="single" w:color="CCCCCC" w:sz="1"/>
              <w:right w:val="single" w:color="CCCCCC" w:sz="1"/>
            </w:tcBorders>
          </w:tcPr>
          <w:p>
            <w:pPr>
              <w:jc w:val="center"/>
            </w:pPr>
            <w:r>
              <w:t xml:space="preserve">3</w:t>
            </w:r>
          </w:p>
        </w:tc>
        <w:tc>
          <w:tcPr>
            <w:tcW w:type="dxa" w:w="4360"/>
            <w:tcBorders>
              <w:top w:val="single" w:color="CCCCCC" w:sz="1"/>
              <w:left w:val="single" w:color="CCCCCC" w:sz="1"/>
              <w:bottom w:val="single" w:color="CCCCCC" w:sz="1"/>
              <w:right w:val="single" w:color="CCCCCC" w:sz="1"/>
            </w:tcBorders>
          </w:tcPr>
          <w:p>
            <w:r>
              <w:t xml:space="preserve">High Court cleared $3.5B suit to proceed</w:t>
            </w:r>
          </w:p>
        </w:tc>
      </w:tr>
      <w:tr>
        <w:tc>
          <w:tcPr>
            <w:tcW w:type="dxa" w:w="3500"/>
            <w:tcBorders>
              <w:top w:val="single" w:color="CCCCCC" w:sz="1"/>
              <w:left w:val="single" w:color="CCCCCC" w:sz="1"/>
              <w:bottom w:val="single" w:color="CCCCCC" w:sz="1"/>
              <w:right w:val="single" w:color="CCCCCC" w:sz="1"/>
            </w:tcBorders>
          </w:tcPr>
          <w:p>
            <w:r>
              <w:t xml:space="preserve">99-1 Property Schemes</w:t>
            </w:r>
          </w:p>
        </w:tc>
        <w:tc>
          <w:tcPr>
            <w:tcW w:type="dxa" w:w="1500"/>
            <w:tcBorders>
              <w:top w:val="single" w:color="CCCCCC" w:sz="1"/>
              <w:left w:val="single" w:color="CCCCCC" w:sz="1"/>
              <w:bottom w:val="single" w:color="CCCCCC" w:sz="1"/>
              <w:right w:val="single" w:color="CCCCCC" w:sz="1"/>
            </w:tcBorders>
          </w:tcPr>
          <w:p>
            <w:pPr>
              <w:jc w:val="center"/>
            </w:pPr>
            <w:r>
              <w:t xml:space="preserve">4</w:t>
            </w:r>
          </w:p>
        </w:tc>
        <w:tc>
          <w:tcPr>
            <w:tcW w:type="dxa" w:w="4360"/>
            <w:tcBorders>
              <w:top w:val="single" w:color="CCCCCC" w:sz="1"/>
              <w:left w:val="single" w:color="CCCCCC" w:sz="1"/>
              <w:bottom w:val="single" w:color="CCCCCC" w:sz="1"/>
              <w:right w:val="single" w:color="CCCCCC" w:sz="1"/>
            </w:tcBorders>
          </w:tcPr>
          <w:p>
            <w:r>
              <w:t xml:space="preserve">Multiple lawsuits against PropNex, agents</w:t>
            </w:r>
          </w:p>
        </w:tc>
      </w:tr>
      <w:tr>
        <w:tc>
          <w:tcPr>
            <w:tcW w:type="dxa" w:w="3500"/>
            <w:tcBorders>
              <w:top w:val="single" w:color="CCCCCC" w:sz="1"/>
              <w:left w:val="single" w:color="CCCCCC" w:sz="1"/>
              <w:bottom w:val="single" w:color="CCCCCC" w:sz="1"/>
              <w:right w:val="single" w:color="CCCCCC" w:sz="1"/>
            </w:tcBorders>
          </w:tcPr>
          <w:p>
            <w:r>
              <w:t xml:space="preserve">Pritam Singh Appeal</w:t>
            </w:r>
          </w:p>
        </w:tc>
        <w:tc>
          <w:tcPr>
            <w:tcW w:type="dxa" w:w="1500"/>
            <w:tcBorders>
              <w:top w:val="single" w:color="CCCCCC" w:sz="1"/>
              <w:left w:val="single" w:color="CCCCCC" w:sz="1"/>
              <w:bottom w:val="single" w:color="CCCCCC" w:sz="1"/>
              <w:right w:val="single" w:color="CCCCCC" w:sz="1"/>
            </w:tcBorders>
          </w:tcPr>
          <w:p>
            <w:pPr>
              <w:jc w:val="center"/>
            </w:pPr>
            <w:r>
              <w:t xml:space="preserve">2</w:t>
            </w:r>
          </w:p>
        </w:tc>
        <w:tc>
          <w:tcPr>
            <w:tcW w:type="dxa" w:w="4360"/>
            <w:tcBorders>
              <w:top w:val="single" w:color="CCCCCC" w:sz="1"/>
              <w:left w:val="single" w:color="CCCCCC" w:sz="1"/>
              <w:bottom w:val="single" w:color="CCCCCC" w:sz="1"/>
              <w:right w:val="single" w:color="CCCCCC" w:sz="1"/>
            </w:tcBorders>
          </w:tcPr>
          <w:p>
            <w:r>
              <w:t xml:space="preserve">High Court upheld conviction</w:t>
            </w:r>
          </w:p>
        </w:tc>
      </w:tr>
      <w:tr>
        <w:tc>
          <w:tcPr>
            <w:tcW w:type="dxa" w:w="3500"/>
            <w:tcBorders>
              <w:top w:val="single" w:color="CCCCCC" w:sz="1"/>
              <w:left w:val="single" w:color="CCCCCC" w:sz="1"/>
              <w:bottom w:val="single" w:color="CCCCCC" w:sz="1"/>
              <w:right w:val="single" w:color="CCCCCC" w:sz="1"/>
            </w:tcBorders>
          </w:tcPr>
          <w:p>
            <w:r>
              <w:t xml:space="preserve">Credit Suisse AT1</w:t>
            </w:r>
          </w:p>
        </w:tc>
        <w:tc>
          <w:tcPr>
            <w:tcW w:type="dxa" w:w="1500"/>
            <w:tcBorders>
              <w:top w:val="single" w:color="CCCCCC" w:sz="1"/>
              <w:left w:val="single" w:color="CCCCCC" w:sz="1"/>
              <w:bottom w:val="single" w:color="CCCCCC" w:sz="1"/>
              <w:right w:val="single" w:color="CCCCCC" w:sz="1"/>
            </w:tcBorders>
          </w:tcPr>
          <w:p>
            <w:pPr>
              <w:jc w:val="center"/>
            </w:pPr>
            <w:r>
              <w:t xml:space="preserve">3</w:t>
            </w:r>
          </w:p>
        </w:tc>
        <w:tc>
          <w:tcPr>
            <w:tcW w:type="dxa" w:w="4360"/>
            <w:tcBorders>
              <w:top w:val="single" w:color="CCCCCC" w:sz="1"/>
              <w:left w:val="single" w:color="CCCCCC" w:sz="1"/>
              <w:bottom w:val="single" w:color="CCCCCC" w:sz="1"/>
              <w:right w:val="single" w:color="CCCCCC" w:sz="1"/>
            </w:tcBorders>
          </w:tcPr>
          <w:p>
            <w:r>
              <w:t xml:space="preserve">ICSID arbitration filings in progress</w:t>
            </w:r>
          </w:p>
        </w:tc>
      </w:tr>
      <w:tr>
        <w:tc>
          <w:tcPr>
            <w:tcW w:type="dxa" w:w="3500"/>
            <w:tcBorders>
              <w:top w:val="single" w:color="CCCCCC" w:sz="1"/>
              <w:left w:val="single" w:color="CCCCCC" w:sz="1"/>
              <w:bottom w:val="single" w:color="CCCCCC" w:sz="1"/>
              <w:right w:val="single" w:color="CCCCCC" w:sz="1"/>
            </w:tcBorders>
          </w:tcPr>
          <w:p>
            <w:r>
              <w:t xml:space="preserve">Law Society Leadership</w:t>
            </w:r>
          </w:p>
        </w:tc>
        <w:tc>
          <w:tcPr>
            <w:tcW w:type="dxa" w:w="1500"/>
            <w:tcBorders>
              <w:top w:val="single" w:color="CCCCCC" w:sz="1"/>
              <w:left w:val="single" w:color="CCCCCC" w:sz="1"/>
              <w:bottom w:val="single" w:color="CCCCCC" w:sz="1"/>
              <w:right w:val="single" w:color="CCCCCC" w:sz="1"/>
            </w:tcBorders>
          </w:tcPr>
          <w:p>
            <w:pPr>
              <w:jc w:val="center"/>
            </w:pPr>
            <w:r>
              <w:t xml:space="preserve">2</w:t>
            </w:r>
          </w:p>
        </w:tc>
        <w:tc>
          <w:tcPr>
            <w:tcW w:type="dxa" w:w="4360"/>
            <w:tcBorders>
              <w:top w:val="single" w:color="CCCCCC" w:sz="1"/>
              <w:left w:val="single" w:color="CCCCCC" w:sz="1"/>
              <w:bottom w:val="single" w:color="CCCCCC" w:sz="1"/>
              <w:right w:val="single" w:color="CCCCCC" w:sz="1"/>
            </w:tcBorders>
          </w:tcPr>
          <w:p>
            <w:r>
              <w:t xml:space="preserve">Prof Tan Cheng Han elected president</w:t>
            </w:r>
          </w:p>
        </w:tc>
      </w:tr>
    </w:tbl>
    <w:p>
      <w:pPr>
        <w:pStyle w:val="Heading1"/>
      </w:pPr>
      <w:r>
        <w:t xml:space="preserve">Notable Legislation &amp; Regulations</w:t>
      </w:r>
    </w:p>
    <w:p>
      <w:pPr>
        <w:pStyle w:val="ListParagraph"/>
        <w:numPr>
          <w:ilvl w:val="0"/>
          <w:numId w:val="2"/>
        </w:numPr>
      </w:pPr>
      <w:r>
        <w:rPr>
          <w:b/>
          <w:bCs/>
        </w:rPr>
        <w:t xml:space="preserve">Criminal Procedure (Expert Opinion) Rules 2025: </w:t>
      </w:r>
      <w:r>
        <w:t xml:space="preserve">Effective Dec 31, requires psychiatrists to be on official panel to give evidence</w:t>
      </w:r>
    </w:p>
    <w:p>
      <w:pPr>
        <w:pStyle w:val="ListParagraph"/>
        <w:numPr>
          <w:ilvl w:val="0"/>
          <w:numId w:val="2"/>
        </w:numPr>
      </w:pPr>
      <w:r>
        <w:rPr>
          <w:b/>
          <w:bCs/>
        </w:rPr>
        <w:t xml:space="preserve">Online Criminal Harms Act: </w:t>
      </w:r>
      <w:r>
        <w:t xml:space="preserve">Implementation directives issued to Apple, Google, Meta for platform safety</w:t>
      </w:r>
    </w:p>
    <w:p>
      <w:pPr>
        <w:pStyle w:val="ListParagraph"/>
        <w:numPr>
          <w:ilvl w:val="0"/>
          <w:numId w:val="2"/>
        </w:numPr>
      </w:pPr>
      <w:r>
        <w:rPr>
          <w:b/>
          <w:bCs/>
        </w:rPr>
        <w:t xml:space="preserve">Criminal Law (Miscellaneous Amendments) Bill: </w:t>
      </w:r>
      <w:r>
        <w:t xml:space="preserve">Mandatory caning for scam syndicate members</w:t>
      </w:r>
    </w:p>
    <w:p>
      <w:pPr>
        <w:pStyle w:val="ListParagraph"/>
        <w:numPr>
          <w:ilvl w:val="0"/>
          <w:numId w:val="2"/>
        </w:numPr>
      </w:pPr>
      <w:r>
        <w:rPr>
          <w:b/>
          <w:bCs/>
        </w:rPr>
        <w:t xml:space="preserve">MOM Work Permit Changes: </w:t>
      </w:r>
      <w:r>
        <w:t xml:space="preserve">Performing Artiste scheme abolished from June 2026</w:t>
      </w:r>
    </w:p>
    <w:p>
      <w:pPr>
        <w:pStyle w:val="ListParagraph"/>
        <w:numPr>
          <w:ilvl w:val="0"/>
          <w:numId w:val="2"/>
        </w:numPr>
        <w:spacing w:after="200"/>
      </w:pPr>
      <w:r>
        <w:rPr>
          <w:b/>
          <w:bCs/>
        </w:rPr>
        <w:t xml:space="preserve">IP Rider Rule Changes: </w:t>
      </w:r>
      <w:r>
        <w:t xml:space="preserve">New deductible coverage restrictions from April 2026</w:t>
      </w:r>
    </w:p>
    <w:p>
      <w:pPr>
        <w:pStyle w:val="Heading1"/>
      </w:pPr>
      <w:r>
        <w:t xml:space="preserve">Recommendations for Legal Practitioners</w:t>
      </w:r>
    </w:p>
    <w:p>
      <w:pPr>
        <w:pStyle w:val="ListParagraph"/>
        <w:numPr>
          <w:ilvl w:val="0"/>
          <w:numId w:val="3"/>
        </w:numPr>
      </w:pPr>
      <w:r>
        <w:rPr>
          <w:b/>
          <w:bCs/>
        </w:rPr>
        <w:t xml:space="preserve">AI Governance: </w:t>
      </w:r>
      <w:r>
        <w:t xml:space="preserve">Implement robust verification protocols for any AI-assisted legal work; establish clear internal policies</w:t>
      </w:r>
    </w:p>
    <w:p>
      <w:pPr>
        <w:pStyle w:val="ListParagraph"/>
        <w:numPr>
          <w:ilvl w:val="0"/>
          <w:numId w:val="3"/>
        </w:numPr>
      </w:pPr>
      <w:r>
        <w:rPr>
          <w:b/>
          <w:bCs/>
        </w:rPr>
        <w:t xml:space="preserve">AML Compliance: </w:t>
      </w:r>
      <w:r>
        <w:t xml:space="preserve">Enhanced due diligence on client beneficial ownership in light of $3B case enforcement actions</w:t>
      </w:r>
    </w:p>
    <w:p>
      <w:pPr>
        <w:pStyle w:val="ListParagraph"/>
        <w:numPr>
          <w:ilvl w:val="0"/>
          <w:numId w:val="3"/>
        </w:numPr>
      </w:pPr>
      <w:r>
        <w:rPr>
          <w:b/>
          <w:bCs/>
        </w:rPr>
        <w:t xml:space="preserve">Property Practice: </w:t>
      </w:r>
      <w:r>
        <w:t xml:space="preserve">Review exposure to 99-1 and similar stamp duty arrangements; document advice clearly</w:t>
      </w:r>
    </w:p>
    <w:p>
      <w:pPr>
        <w:pStyle w:val="ListParagraph"/>
        <w:numPr>
          <w:ilvl w:val="0"/>
          <w:numId w:val="3"/>
        </w:numPr>
      </w:pPr>
      <w:r>
        <w:rPr>
          <w:b/>
          <w:bCs/>
        </w:rPr>
        <w:t xml:space="preserve">Professional Training: </w:t>
      </w:r>
      <w:r>
        <w:t xml:space="preserve">Consider SAL's new Junior Lawyers programme for GenAI ethics and practical skills</w:t>
      </w:r>
    </w:p>
    <w:p>
      <w:pPr>
        <w:pStyle w:val="ListParagraph"/>
        <w:numPr>
          <w:ilvl w:val="0"/>
          <w:numId w:val="3"/>
        </w:numPr>
        <w:spacing w:after="400"/>
      </w:pPr>
      <w:r>
        <w:rPr>
          <w:b/>
          <w:bCs/>
        </w:rPr>
        <w:t xml:space="preserve">Scam Awareness: </w:t>
      </w:r>
      <w:r>
        <w:t xml:space="preserve">Stay updated on new offences and sentencing guidelines given legislative changes</w:t>
      </w:r>
    </w:p>
    <w:p>
      <w:pPr>
        <w:pStyle w:val="Heading1"/>
      </w:pPr>
      <w:r>
        <w:t xml:space="preserve">Methodology</w:t>
      </w:r>
    </w:p>
    <w:p>
      <w:pPr>
        <w:spacing w:after="400"/>
      </w:pPr>
      <w:r>
        <w:t xml:space="preserve">This analysis was conducted using natural language processing of 444 articles from the Singapore Law Watch headlines database. Theme classification used keyword-based detection with manual validation. Article counts may overlap where stories covered multiple themes. Data covers April 15 to December 24, 2025.</w:t>
      </w:r>
    </w:p>
    <w:p>
      <w:pPr>
        <w:spacing w:before="400"/>
        <w:jc w:val="center"/>
      </w:pPr>
      <w:r>
        <w:rPr>
          <w:i/>
          <w:iCs/>
          <w:color w:val="718096"/>
          <w:sz w:val="20"/>
          <w:szCs w:val="20"/>
        </w:rPr>
        <w:t xml:space="preserve">Report generated December 2025</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Pr>
      <w:t xml:space="preserve">Singapore Law Watch 2025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40"/>
      <w:jc w:val="center"/>
    </w:pPr>
    <w:rPr>
      <w:rFonts w:ascii="Arial" w:cs="Arial" w:eastAsia="Arial" w:hAnsi="Arial"/>
      <w:b/>
      <w:bCs/>
      <w:color w:val="1a365d"/>
      <w:sz w:val="48"/>
      <w:szCs w:val="48"/>
    </w:rPr>
  </w:style>
  <w:style w:type="paragraph" w:styleId="Heading1">
    <w:name w:val="Heading 1"/>
    <w:basedOn w:val="Normal"/>
    <w:next w:val="Normal"/>
    <w:qFormat/>
    <w:pPr>
      <w:spacing w:before="400" w:after="200"/>
      <w:outlineLvl w:val="0"/>
    </w:pPr>
    <w:rPr>
      <w:rFonts w:ascii="Arial" w:cs="Arial" w:eastAsia="Arial" w:hAnsi="Arial"/>
      <w:b/>
      <w:bCs/>
      <w:color w:val="2c5282"/>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2d3748"/>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4a556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2025-12-27T13:59:22.726Z</dcterms:created>
  <dcterms:modified xsi:type="dcterms:W3CDTF">2025-12-27T13:59:22.727Z</dcterms:modified>
</cp:coreProperties>
</file>

<file path=docProps/custom.xml><?xml version="1.0" encoding="utf-8"?>
<Properties xmlns="http://schemas.openxmlformats.org/officeDocument/2006/custom-properties" xmlns:vt="http://schemas.openxmlformats.org/officeDocument/2006/docPropsVTypes"/>
</file>