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drawing>
          <wp:anchor distT="0" distB="0" distL="114300" distR="114300" simplePos="0" relativeHeight="251659264" behindDoc="1" locked="0" layoutInCell="1" allowOverlap="1">
            <wp:simplePos x="0" y="0"/>
            <wp:positionH relativeFrom="column">
              <wp:posOffset>-543560</wp:posOffset>
            </wp:positionH>
            <wp:positionV relativeFrom="paragraph">
              <wp:posOffset>-853440</wp:posOffset>
            </wp:positionV>
            <wp:extent cx="7637780" cy="10754995"/>
            <wp:effectExtent l="0" t="0" r="7620" b="1905"/>
            <wp:wrapThrough wrapText="bothSides">
              <wp:wrapPolygon>
                <wp:start x="0" y="0"/>
                <wp:lineTo x="0" y="21578"/>
                <wp:lineTo x="21550" y="21578"/>
                <wp:lineTo x="21550" y="0"/>
                <wp:lineTo x="0" y="0"/>
              </wp:wrapPolygon>
            </wp:wrapThrough>
            <wp:docPr id="2" name="图片 2" descr="阅读封面基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阅读封面基础"/>
                    <pic:cNvPicPr>
                      <a:picLocks noChangeAspect="1"/>
                    </pic:cNvPicPr>
                  </pic:nvPicPr>
                  <pic:blipFill>
                    <a:blip r:embed="rId6"/>
                    <a:stretch>
                      <a:fillRect/>
                    </a:stretch>
                  </pic:blipFill>
                  <pic:spPr>
                    <a:xfrm>
                      <a:off x="0" y="0"/>
                      <a:ext cx="7637780" cy="10754995"/>
                    </a:xfrm>
                    <a:prstGeom prst="rect">
                      <a:avLst/>
                    </a:prstGeom>
                  </pic:spPr>
                </pic:pic>
              </a:graphicData>
            </a:graphic>
          </wp:anchor>
        </w:drawing>
      </w:r>
      <w:r>
        <w:rPr>
          <w:rFonts w:ascii="宋体" w:hAnsi="宋体" w:eastAsia="宋体" w:cstheme="minorBidi"/>
          <w:kern w:val="2"/>
          <w:sz w:val="21"/>
          <w:szCs w:val="24"/>
          <w:lang w:val="en-US" w:eastAsia="zh-CN" w:bidi="ar-SA"/>
        </w:rPr>
        <w:br w:type="page"/>
      </w:r>
    </w:p>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61563"/>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6"/>
            <w:tabs>
              <w:tab w:val="right" w:leader="dot" w:pos="10466"/>
            </w:tabs>
          </w:pPr>
          <w:r>
            <w:fldChar w:fldCharType="begin"/>
          </w:r>
          <w:r>
            <w:instrText xml:space="preserve">TOC \o "1-3" \h \u </w:instrText>
          </w:r>
          <w:r>
            <w:fldChar w:fldCharType="separate"/>
          </w:r>
          <w:r>
            <w:fldChar w:fldCharType="begin"/>
          </w:r>
          <w:r>
            <w:instrText xml:space="preserve"> HYPERLINK \l _Toc30250 </w:instrText>
          </w:r>
          <w:r>
            <w:fldChar w:fldCharType="separate"/>
          </w:r>
          <w:r>
            <w:rPr>
              <w:rFonts w:hint="eastAsia"/>
              <w:lang w:val="en-US" w:eastAsia="zh-CN"/>
            </w:rPr>
            <w:t>TEXT1</w:t>
          </w:r>
          <w:r>
            <w:tab/>
          </w:r>
          <w:r>
            <w:fldChar w:fldCharType="begin"/>
          </w:r>
          <w:r>
            <w:instrText xml:space="preserve"> PAGEREF _Toc30250 \h </w:instrText>
          </w:r>
          <w:r>
            <w:fldChar w:fldCharType="separate"/>
          </w:r>
          <w:r>
            <w:t>2</w:t>
          </w:r>
          <w:r>
            <w:fldChar w:fldCharType="end"/>
          </w:r>
          <w:r>
            <w:fldChar w:fldCharType="end"/>
          </w:r>
        </w:p>
        <w:p>
          <w:pPr>
            <w:pStyle w:val="6"/>
            <w:tabs>
              <w:tab w:val="right" w:leader="dot" w:pos="10466"/>
            </w:tabs>
          </w:pPr>
          <w:r>
            <w:fldChar w:fldCharType="begin"/>
          </w:r>
          <w:r>
            <w:instrText xml:space="preserve"> HYPERLINK \l _Toc17738 </w:instrText>
          </w:r>
          <w:r>
            <w:fldChar w:fldCharType="separate"/>
          </w:r>
          <w:r>
            <w:rPr>
              <w:rFonts w:hint="eastAsia"/>
              <w:lang w:val="en-US" w:eastAsia="zh-CN"/>
            </w:rPr>
            <w:t>TEXT2</w:t>
          </w:r>
          <w:r>
            <w:tab/>
          </w:r>
          <w:r>
            <w:fldChar w:fldCharType="begin"/>
          </w:r>
          <w:r>
            <w:instrText xml:space="preserve"> PAGEREF _Toc17738 \h </w:instrText>
          </w:r>
          <w:r>
            <w:fldChar w:fldCharType="separate"/>
          </w:r>
          <w:r>
            <w:t>5</w:t>
          </w:r>
          <w:r>
            <w:fldChar w:fldCharType="end"/>
          </w:r>
          <w:r>
            <w:fldChar w:fldCharType="end"/>
          </w:r>
        </w:p>
        <w:p>
          <w:pPr>
            <w:pStyle w:val="6"/>
            <w:tabs>
              <w:tab w:val="right" w:leader="dot" w:pos="10466"/>
            </w:tabs>
          </w:pPr>
          <w:r>
            <w:fldChar w:fldCharType="begin"/>
          </w:r>
          <w:r>
            <w:instrText xml:space="preserve"> HYPERLINK \l _Toc11199 </w:instrText>
          </w:r>
          <w:r>
            <w:fldChar w:fldCharType="separate"/>
          </w:r>
          <w:r>
            <w:rPr>
              <w:rFonts w:hint="eastAsia"/>
              <w:lang w:val="en-US" w:eastAsia="zh-CN"/>
            </w:rPr>
            <w:t>TEXT3</w:t>
          </w:r>
          <w:r>
            <w:tab/>
          </w:r>
          <w:r>
            <w:fldChar w:fldCharType="begin"/>
          </w:r>
          <w:r>
            <w:instrText xml:space="preserve"> PAGEREF _Toc11199 \h </w:instrText>
          </w:r>
          <w:r>
            <w:fldChar w:fldCharType="separate"/>
          </w:r>
          <w:r>
            <w:t>8</w:t>
          </w:r>
          <w:r>
            <w:fldChar w:fldCharType="end"/>
          </w:r>
          <w:r>
            <w:fldChar w:fldCharType="end"/>
          </w:r>
        </w:p>
        <w:p>
          <w:pPr>
            <w:pStyle w:val="6"/>
            <w:tabs>
              <w:tab w:val="right" w:leader="dot" w:pos="10466"/>
            </w:tabs>
          </w:pPr>
          <w:r>
            <w:fldChar w:fldCharType="begin"/>
          </w:r>
          <w:r>
            <w:instrText xml:space="preserve"> HYPERLINK \l _Toc22358 </w:instrText>
          </w:r>
          <w:r>
            <w:fldChar w:fldCharType="separate"/>
          </w:r>
          <w:r>
            <w:rPr>
              <w:rFonts w:hint="default"/>
              <w:lang w:val="en-US" w:eastAsia="zh-CN"/>
            </w:rPr>
            <w:t>T</w:t>
          </w:r>
          <w:r>
            <w:rPr>
              <w:rFonts w:hint="eastAsia"/>
              <w:lang w:val="en-US" w:eastAsia="zh-CN"/>
            </w:rPr>
            <w:t>EXT</w:t>
          </w:r>
          <w:r>
            <w:rPr>
              <w:rFonts w:hint="default"/>
              <w:lang w:val="en-US" w:eastAsia="zh-CN"/>
            </w:rPr>
            <w:t>4</w:t>
          </w:r>
          <w:r>
            <w:tab/>
          </w:r>
          <w:r>
            <w:fldChar w:fldCharType="begin"/>
          </w:r>
          <w:r>
            <w:instrText xml:space="preserve"> PAGEREF _Toc22358 \h </w:instrText>
          </w:r>
          <w:r>
            <w:fldChar w:fldCharType="separate"/>
          </w:r>
          <w:r>
            <w:t>11</w:t>
          </w:r>
          <w:r>
            <w:fldChar w:fldCharType="end"/>
          </w:r>
          <w:r>
            <w:fldChar w:fldCharType="end"/>
          </w:r>
        </w:p>
        <w:p>
          <w:pPr>
            <w:pStyle w:val="6"/>
            <w:tabs>
              <w:tab w:val="right" w:leader="dot" w:pos="10466"/>
            </w:tabs>
          </w:pPr>
          <w:r>
            <w:fldChar w:fldCharType="begin"/>
          </w:r>
          <w:r>
            <w:instrText xml:space="preserve"> HYPERLINK \l _Toc26723 </w:instrText>
          </w:r>
          <w:r>
            <w:fldChar w:fldCharType="separate"/>
          </w:r>
          <w:r>
            <w:rPr>
              <w:rFonts w:hint="eastAsia"/>
              <w:lang w:val="en-US" w:eastAsia="zh-CN"/>
            </w:rPr>
            <w:t>TEXT5</w:t>
          </w:r>
          <w:r>
            <w:tab/>
          </w:r>
          <w:r>
            <w:fldChar w:fldCharType="begin"/>
          </w:r>
          <w:r>
            <w:instrText xml:space="preserve"> PAGEREF _Toc26723 \h </w:instrText>
          </w:r>
          <w:r>
            <w:fldChar w:fldCharType="separate"/>
          </w:r>
          <w:r>
            <w:t>14</w:t>
          </w:r>
          <w:r>
            <w:fldChar w:fldCharType="end"/>
          </w:r>
          <w:r>
            <w:fldChar w:fldCharType="end"/>
          </w:r>
        </w:p>
        <w:p>
          <w:pPr>
            <w:pStyle w:val="6"/>
            <w:tabs>
              <w:tab w:val="right" w:leader="dot" w:pos="10466"/>
            </w:tabs>
          </w:pPr>
          <w:r>
            <w:fldChar w:fldCharType="begin"/>
          </w:r>
          <w:r>
            <w:instrText xml:space="preserve"> HYPERLINK \l _Toc10162 </w:instrText>
          </w:r>
          <w:r>
            <w:fldChar w:fldCharType="separate"/>
          </w:r>
          <w:r>
            <w:rPr>
              <w:rFonts w:hint="eastAsia"/>
              <w:lang w:val="en-US" w:eastAsia="zh-CN"/>
            </w:rPr>
            <w:t>TEXT6</w:t>
          </w:r>
          <w:r>
            <w:tab/>
          </w:r>
          <w:r>
            <w:fldChar w:fldCharType="begin"/>
          </w:r>
          <w:r>
            <w:instrText xml:space="preserve"> PAGEREF _Toc10162 \h </w:instrText>
          </w:r>
          <w:r>
            <w:fldChar w:fldCharType="separate"/>
          </w:r>
          <w:r>
            <w:t>17</w:t>
          </w:r>
          <w:r>
            <w:fldChar w:fldCharType="end"/>
          </w:r>
          <w:r>
            <w:fldChar w:fldCharType="end"/>
          </w:r>
        </w:p>
        <w:p>
          <w:pPr>
            <w:pStyle w:val="6"/>
            <w:tabs>
              <w:tab w:val="right" w:leader="dot" w:pos="10466"/>
            </w:tabs>
          </w:pPr>
          <w:r>
            <w:fldChar w:fldCharType="begin"/>
          </w:r>
          <w:r>
            <w:instrText xml:space="preserve"> HYPERLINK \l _Toc18575 </w:instrText>
          </w:r>
          <w:r>
            <w:fldChar w:fldCharType="separate"/>
          </w:r>
          <w:r>
            <w:rPr>
              <w:rFonts w:hint="eastAsia"/>
              <w:lang w:val="en-US" w:eastAsia="zh-CN"/>
            </w:rPr>
            <w:t>TEXT7</w:t>
          </w:r>
          <w:r>
            <w:tab/>
          </w:r>
          <w:r>
            <w:fldChar w:fldCharType="begin"/>
          </w:r>
          <w:r>
            <w:instrText xml:space="preserve"> PAGEREF _Toc18575 \h </w:instrText>
          </w:r>
          <w:r>
            <w:fldChar w:fldCharType="separate"/>
          </w:r>
          <w:r>
            <w:t>20</w:t>
          </w:r>
          <w:r>
            <w:fldChar w:fldCharType="end"/>
          </w:r>
          <w:r>
            <w:fldChar w:fldCharType="end"/>
          </w:r>
        </w:p>
        <w:p>
          <w:pPr>
            <w:pStyle w:val="6"/>
            <w:tabs>
              <w:tab w:val="right" w:leader="dot" w:pos="10466"/>
            </w:tabs>
          </w:pPr>
          <w:r>
            <w:fldChar w:fldCharType="begin"/>
          </w:r>
          <w:r>
            <w:instrText xml:space="preserve"> HYPERLINK \l _Toc26382 </w:instrText>
          </w:r>
          <w:r>
            <w:fldChar w:fldCharType="separate"/>
          </w:r>
          <w:r>
            <w:rPr>
              <w:rFonts w:hint="eastAsia"/>
              <w:lang w:val="en-US" w:eastAsia="zh-CN"/>
            </w:rPr>
            <w:t>TEXT8</w:t>
          </w:r>
          <w:r>
            <w:tab/>
          </w:r>
          <w:r>
            <w:fldChar w:fldCharType="begin"/>
          </w:r>
          <w:r>
            <w:instrText xml:space="preserve"> PAGEREF _Toc26382 \h </w:instrText>
          </w:r>
          <w:r>
            <w:fldChar w:fldCharType="separate"/>
          </w:r>
          <w:r>
            <w:t>23</w:t>
          </w:r>
          <w:r>
            <w:fldChar w:fldCharType="end"/>
          </w:r>
          <w:r>
            <w:fldChar w:fldCharType="end"/>
          </w:r>
        </w:p>
        <w:p>
          <w:pPr>
            <w:pStyle w:val="6"/>
            <w:tabs>
              <w:tab w:val="right" w:leader="dot" w:pos="10466"/>
            </w:tabs>
          </w:pPr>
          <w:r>
            <w:fldChar w:fldCharType="begin"/>
          </w:r>
          <w:r>
            <w:instrText xml:space="preserve"> HYPERLINK \l _Toc28671 </w:instrText>
          </w:r>
          <w:r>
            <w:fldChar w:fldCharType="separate"/>
          </w:r>
          <w:r>
            <w:rPr>
              <w:rFonts w:hint="eastAsia"/>
              <w:lang w:val="en-US" w:eastAsia="zh-CN"/>
            </w:rPr>
            <w:t>TEXT9</w:t>
          </w:r>
          <w:r>
            <w:tab/>
          </w:r>
          <w:r>
            <w:fldChar w:fldCharType="begin"/>
          </w:r>
          <w:r>
            <w:instrText xml:space="preserve"> PAGEREF _Toc28671 \h </w:instrText>
          </w:r>
          <w:r>
            <w:fldChar w:fldCharType="separate"/>
          </w:r>
          <w:r>
            <w:t>26</w:t>
          </w:r>
          <w:r>
            <w:fldChar w:fldCharType="end"/>
          </w:r>
          <w:r>
            <w:fldChar w:fldCharType="end"/>
          </w:r>
        </w:p>
        <w:p>
          <w:pPr>
            <w:pStyle w:val="6"/>
            <w:tabs>
              <w:tab w:val="right" w:leader="dot" w:pos="10466"/>
            </w:tabs>
          </w:pPr>
          <w:r>
            <w:fldChar w:fldCharType="begin"/>
          </w:r>
          <w:r>
            <w:instrText xml:space="preserve"> HYPERLINK \l _Toc12500 </w:instrText>
          </w:r>
          <w:r>
            <w:fldChar w:fldCharType="separate"/>
          </w:r>
          <w:r>
            <w:rPr>
              <w:rFonts w:hint="eastAsia"/>
              <w:lang w:val="en-US" w:eastAsia="zh-CN"/>
            </w:rPr>
            <w:t>TEXT10</w:t>
          </w:r>
          <w:r>
            <w:tab/>
          </w:r>
          <w:r>
            <w:fldChar w:fldCharType="begin"/>
          </w:r>
          <w:r>
            <w:instrText xml:space="preserve"> PAGEREF _Toc12500 \h </w:instrText>
          </w:r>
          <w:r>
            <w:fldChar w:fldCharType="separate"/>
          </w:r>
          <w:r>
            <w:t>29</w:t>
          </w:r>
          <w:r>
            <w:fldChar w:fldCharType="end"/>
          </w:r>
          <w:r>
            <w:fldChar w:fldCharType="end"/>
          </w:r>
        </w:p>
        <w:p>
          <w:pPr>
            <w:pStyle w:val="6"/>
            <w:tabs>
              <w:tab w:val="right" w:leader="dot" w:pos="10466"/>
            </w:tabs>
          </w:pPr>
          <w:r>
            <w:fldChar w:fldCharType="begin"/>
          </w:r>
          <w:r>
            <w:instrText xml:space="preserve"> HYPERLINK \l _Toc142 </w:instrText>
          </w:r>
          <w:r>
            <w:fldChar w:fldCharType="separate"/>
          </w:r>
          <w:r>
            <w:rPr>
              <w:rFonts w:hint="eastAsia"/>
              <w:lang w:val="en-US" w:eastAsia="zh-CN"/>
            </w:rPr>
            <w:t>TEXT11</w:t>
          </w:r>
          <w:r>
            <w:tab/>
          </w:r>
          <w:r>
            <w:fldChar w:fldCharType="begin"/>
          </w:r>
          <w:r>
            <w:instrText xml:space="preserve"> PAGEREF _Toc142 \h </w:instrText>
          </w:r>
          <w:r>
            <w:fldChar w:fldCharType="separate"/>
          </w:r>
          <w:r>
            <w:t>32</w:t>
          </w:r>
          <w:r>
            <w:fldChar w:fldCharType="end"/>
          </w:r>
          <w:r>
            <w:fldChar w:fldCharType="end"/>
          </w:r>
        </w:p>
        <w:p>
          <w:pPr>
            <w:pStyle w:val="6"/>
            <w:tabs>
              <w:tab w:val="right" w:leader="dot" w:pos="10466"/>
            </w:tabs>
          </w:pPr>
          <w:r>
            <w:fldChar w:fldCharType="begin"/>
          </w:r>
          <w:r>
            <w:instrText xml:space="preserve"> HYPERLINK \l _Toc11044 </w:instrText>
          </w:r>
          <w:r>
            <w:fldChar w:fldCharType="separate"/>
          </w:r>
          <w:r>
            <w:rPr>
              <w:rFonts w:hint="eastAsia"/>
              <w:lang w:val="en-US" w:eastAsia="zh-CN"/>
            </w:rPr>
            <w:t>TEXT12</w:t>
          </w:r>
          <w:r>
            <w:tab/>
          </w:r>
          <w:r>
            <w:fldChar w:fldCharType="begin"/>
          </w:r>
          <w:r>
            <w:instrText xml:space="preserve"> PAGEREF _Toc11044 \h </w:instrText>
          </w:r>
          <w:r>
            <w:fldChar w:fldCharType="separate"/>
          </w:r>
          <w:r>
            <w:t>35</w:t>
          </w:r>
          <w:r>
            <w:fldChar w:fldCharType="end"/>
          </w:r>
          <w:r>
            <w:fldChar w:fldCharType="end"/>
          </w:r>
        </w:p>
        <w:p>
          <w:pPr>
            <w:pStyle w:val="6"/>
            <w:tabs>
              <w:tab w:val="right" w:leader="dot" w:pos="10466"/>
            </w:tabs>
          </w:pPr>
          <w:r>
            <w:fldChar w:fldCharType="begin"/>
          </w:r>
          <w:r>
            <w:instrText xml:space="preserve"> HYPERLINK \l _Toc11461 </w:instrText>
          </w:r>
          <w:r>
            <w:fldChar w:fldCharType="separate"/>
          </w:r>
          <w:r>
            <w:rPr>
              <w:rFonts w:hint="eastAsia"/>
              <w:lang w:val="en-US" w:eastAsia="zh-CN"/>
            </w:rPr>
            <w:t>TEXT13</w:t>
          </w:r>
          <w:r>
            <w:tab/>
          </w:r>
          <w:r>
            <w:fldChar w:fldCharType="begin"/>
          </w:r>
          <w:r>
            <w:instrText xml:space="preserve"> PAGEREF _Toc11461 \h </w:instrText>
          </w:r>
          <w:r>
            <w:fldChar w:fldCharType="separate"/>
          </w:r>
          <w:r>
            <w:t>38</w:t>
          </w:r>
          <w:r>
            <w:fldChar w:fldCharType="end"/>
          </w:r>
          <w:r>
            <w:fldChar w:fldCharType="end"/>
          </w:r>
        </w:p>
        <w:p>
          <w:pPr>
            <w:pStyle w:val="6"/>
            <w:tabs>
              <w:tab w:val="right" w:leader="dot" w:pos="10466"/>
            </w:tabs>
          </w:pPr>
          <w:r>
            <w:fldChar w:fldCharType="begin"/>
          </w:r>
          <w:r>
            <w:instrText xml:space="preserve"> HYPERLINK \l _Toc30628 </w:instrText>
          </w:r>
          <w:r>
            <w:fldChar w:fldCharType="separate"/>
          </w:r>
          <w:r>
            <w:rPr>
              <w:rFonts w:hint="eastAsia"/>
              <w:lang w:val="en-US" w:eastAsia="zh-CN"/>
            </w:rPr>
            <w:t>TEXT14</w:t>
          </w:r>
          <w:r>
            <w:tab/>
          </w:r>
          <w:r>
            <w:fldChar w:fldCharType="begin"/>
          </w:r>
          <w:r>
            <w:instrText xml:space="preserve"> PAGEREF _Toc30628 \h </w:instrText>
          </w:r>
          <w:r>
            <w:fldChar w:fldCharType="separate"/>
          </w:r>
          <w:r>
            <w:t>41</w:t>
          </w:r>
          <w:r>
            <w:fldChar w:fldCharType="end"/>
          </w:r>
          <w:r>
            <w:fldChar w:fldCharType="end"/>
          </w:r>
        </w:p>
        <w:p>
          <w:pPr>
            <w:pStyle w:val="6"/>
            <w:tabs>
              <w:tab w:val="right" w:leader="dot" w:pos="10466"/>
            </w:tabs>
          </w:pPr>
          <w:r>
            <w:fldChar w:fldCharType="begin"/>
          </w:r>
          <w:r>
            <w:instrText xml:space="preserve"> HYPERLINK \l _Toc27631 </w:instrText>
          </w:r>
          <w:r>
            <w:fldChar w:fldCharType="separate"/>
          </w:r>
          <w:r>
            <w:rPr>
              <w:rFonts w:hint="eastAsia"/>
              <w:lang w:val="en-US" w:eastAsia="zh-CN"/>
            </w:rPr>
            <w:t>TEXT15</w:t>
          </w:r>
          <w:r>
            <w:tab/>
          </w:r>
          <w:r>
            <w:fldChar w:fldCharType="begin"/>
          </w:r>
          <w:r>
            <w:instrText xml:space="preserve"> PAGEREF _Toc27631 \h </w:instrText>
          </w:r>
          <w:r>
            <w:fldChar w:fldCharType="separate"/>
          </w:r>
          <w:r>
            <w:t>44</w:t>
          </w:r>
          <w:r>
            <w:fldChar w:fldCharType="end"/>
          </w:r>
          <w:r>
            <w:fldChar w:fldCharType="end"/>
          </w:r>
        </w:p>
        <w:p>
          <w:pPr>
            <w:pStyle w:val="6"/>
            <w:tabs>
              <w:tab w:val="right" w:leader="dot" w:pos="10466"/>
            </w:tabs>
          </w:pPr>
          <w:r>
            <w:fldChar w:fldCharType="begin"/>
          </w:r>
          <w:r>
            <w:instrText xml:space="preserve"> HYPERLINK \l _Toc972 </w:instrText>
          </w:r>
          <w:r>
            <w:fldChar w:fldCharType="separate"/>
          </w:r>
          <w:r>
            <w:rPr>
              <w:rFonts w:hint="eastAsia"/>
              <w:lang w:val="en-US" w:eastAsia="zh-CN"/>
            </w:rPr>
            <w:t>TEXT16</w:t>
          </w:r>
          <w:r>
            <w:tab/>
          </w:r>
          <w:r>
            <w:fldChar w:fldCharType="begin"/>
          </w:r>
          <w:r>
            <w:instrText xml:space="preserve"> PAGEREF _Toc972 \h </w:instrText>
          </w:r>
          <w:r>
            <w:fldChar w:fldCharType="separate"/>
          </w:r>
          <w:r>
            <w:t>47</w:t>
          </w:r>
          <w:r>
            <w:fldChar w:fldCharType="end"/>
          </w:r>
          <w:r>
            <w:fldChar w:fldCharType="end"/>
          </w:r>
        </w:p>
        <w:p>
          <w:pPr>
            <w:pStyle w:val="6"/>
            <w:tabs>
              <w:tab w:val="right" w:leader="dot" w:pos="10466"/>
            </w:tabs>
          </w:pPr>
          <w:r>
            <w:fldChar w:fldCharType="begin"/>
          </w:r>
          <w:r>
            <w:instrText xml:space="preserve"> HYPERLINK \l _Toc17324 </w:instrText>
          </w:r>
          <w:r>
            <w:fldChar w:fldCharType="separate"/>
          </w:r>
          <w:r>
            <w:rPr>
              <w:rFonts w:hint="eastAsia"/>
              <w:lang w:val="en-US" w:eastAsia="zh-CN"/>
            </w:rPr>
            <w:t>TEXT17</w:t>
          </w:r>
          <w:r>
            <w:tab/>
          </w:r>
          <w:r>
            <w:fldChar w:fldCharType="begin"/>
          </w:r>
          <w:r>
            <w:instrText xml:space="preserve"> PAGEREF _Toc17324 \h </w:instrText>
          </w:r>
          <w:r>
            <w:fldChar w:fldCharType="separate"/>
          </w:r>
          <w:r>
            <w:t>50</w:t>
          </w:r>
          <w:r>
            <w:fldChar w:fldCharType="end"/>
          </w:r>
          <w:r>
            <w:fldChar w:fldCharType="end"/>
          </w:r>
        </w:p>
        <w:p>
          <w:pPr>
            <w:pStyle w:val="6"/>
            <w:tabs>
              <w:tab w:val="right" w:leader="dot" w:pos="10466"/>
            </w:tabs>
          </w:pPr>
          <w:r>
            <w:fldChar w:fldCharType="begin"/>
          </w:r>
          <w:r>
            <w:instrText xml:space="preserve"> HYPERLINK \l _Toc31896 </w:instrText>
          </w:r>
          <w:r>
            <w:fldChar w:fldCharType="separate"/>
          </w:r>
          <w:r>
            <w:rPr>
              <w:rFonts w:hint="eastAsia"/>
              <w:lang w:val="en-US" w:eastAsia="zh-CN"/>
            </w:rPr>
            <w:t>TEXT18</w:t>
          </w:r>
          <w:r>
            <w:tab/>
          </w:r>
          <w:r>
            <w:fldChar w:fldCharType="begin"/>
          </w:r>
          <w:r>
            <w:instrText xml:space="preserve"> PAGEREF _Toc31896 \h </w:instrText>
          </w:r>
          <w:r>
            <w:fldChar w:fldCharType="separate"/>
          </w:r>
          <w:r>
            <w:t>53</w:t>
          </w:r>
          <w:r>
            <w:fldChar w:fldCharType="end"/>
          </w:r>
          <w:r>
            <w:fldChar w:fldCharType="end"/>
          </w:r>
        </w:p>
        <w:p>
          <w:pPr>
            <w:pStyle w:val="6"/>
            <w:tabs>
              <w:tab w:val="right" w:leader="dot" w:pos="10466"/>
            </w:tabs>
          </w:pPr>
          <w:r>
            <w:fldChar w:fldCharType="begin"/>
          </w:r>
          <w:r>
            <w:instrText xml:space="preserve"> HYPERLINK \l _Toc31586 </w:instrText>
          </w:r>
          <w:r>
            <w:fldChar w:fldCharType="separate"/>
          </w:r>
          <w:r>
            <w:rPr>
              <w:rFonts w:hint="eastAsia"/>
              <w:lang w:val="en-US" w:eastAsia="zh-CN"/>
            </w:rPr>
            <w:t>TEXT19</w:t>
          </w:r>
          <w:r>
            <w:tab/>
          </w:r>
          <w:r>
            <w:fldChar w:fldCharType="begin"/>
          </w:r>
          <w:r>
            <w:instrText xml:space="preserve"> PAGEREF _Toc31586 \h </w:instrText>
          </w:r>
          <w:r>
            <w:fldChar w:fldCharType="separate"/>
          </w:r>
          <w:r>
            <w:t>56</w:t>
          </w:r>
          <w:r>
            <w:fldChar w:fldCharType="end"/>
          </w:r>
          <w:r>
            <w:fldChar w:fldCharType="end"/>
          </w:r>
        </w:p>
        <w:p>
          <w:pPr>
            <w:pStyle w:val="6"/>
            <w:tabs>
              <w:tab w:val="right" w:leader="dot" w:pos="10466"/>
            </w:tabs>
          </w:pPr>
          <w:r>
            <w:fldChar w:fldCharType="begin"/>
          </w:r>
          <w:r>
            <w:instrText xml:space="preserve"> HYPERLINK \l _Toc2245 </w:instrText>
          </w:r>
          <w:r>
            <w:fldChar w:fldCharType="separate"/>
          </w:r>
          <w:r>
            <w:rPr>
              <w:rFonts w:hint="eastAsia"/>
              <w:lang w:val="en-US" w:eastAsia="zh-CN"/>
            </w:rPr>
            <w:t>TEXT20</w:t>
          </w:r>
          <w:r>
            <w:tab/>
          </w:r>
          <w:r>
            <w:fldChar w:fldCharType="begin"/>
          </w:r>
          <w:r>
            <w:instrText xml:space="preserve"> PAGEREF _Toc2245 \h </w:instrText>
          </w:r>
          <w:r>
            <w:fldChar w:fldCharType="separate"/>
          </w:r>
          <w:r>
            <w:t>59</w:t>
          </w:r>
          <w:r>
            <w:fldChar w:fldCharType="end"/>
          </w:r>
          <w:r>
            <w:fldChar w:fldCharType="end"/>
          </w:r>
        </w:p>
        <w:p>
          <w:pPr>
            <w:pStyle w:val="6"/>
            <w:tabs>
              <w:tab w:val="right" w:leader="dot" w:pos="10466"/>
            </w:tabs>
          </w:pPr>
          <w:r>
            <w:fldChar w:fldCharType="begin"/>
          </w:r>
          <w:r>
            <w:instrText xml:space="preserve"> HYPERLINK \l _Toc28675 </w:instrText>
          </w:r>
          <w:r>
            <w:fldChar w:fldCharType="separate"/>
          </w:r>
          <w:r>
            <w:rPr>
              <w:rFonts w:hint="eastAsia"/>
              <w:lang w:val="en-US" w:eastAsia="zh-CN"/>
            </w:rPr>
            <w:t>TEXT21</w:t>
          </w:r>
          <w:r>
            <w:tab/>
          </w:r>
          <w:r>
            <w:fldChar w:fldCharType="begin"/>
          </w:r>
          <w:r>
            <w:instrText xml:space="preserve"> PAGEREF _Toc28675 \h </w:instrText>
          </w:r>
          <w:r>
            <w:fldChar w:fldCharType="separate"/>
          </w:r>
          <w:r>
            <w:t>62</w:t>
          </w:r>
          <w:r>
            <w:fldChar w:fldCharType="end"/>
          </w:r>
          <w:r>
            <w:fldChar w:fldCharType="end"/>
          </w:r>
        </w:p>
        <w:p>
          <w:pPr>
            <w:pStyle w:val="6"/>
            <w:tabs>
              <w:tab w:val="right" w:leader="dot" w:pos="10466"/>
            </w:tabs>
          </w:pPr>
          <w:r>
            <w:fldChar w:fldCharType="begin"/>
          </w:r>
          <w:r>
            <w:instrText xml:space="preserve"> HYPERLINK \l _Toc17929 </w:instrText>
          </w:r>
          <w:r>
            <w:fldChar w:fldCharType="separate"/>
          </w:r>
          <w:r>
            <w:rPr>
              <w:rFonts w:hint="eastAsia"/>
              <w:lang w:val="en-US" w:eastAsia="zh-CN"/>
            </w:rPr>
            <w:t>TEXT22</w:t>
          </w:r>
          <w:r>
            <w:tab/>
          </w:r>
          <w:r>
            <w:fldChar w:fldCharType="begin"/>
          </w:r>
          <w:r>
            <w:instrText xml:space="preserve"> PAGEREF _Toc17929 \h </w:instrText>
          </w:r>
          <w:r>
            <w:fldChar w:fldCharType="separate"/>
          </w:r>
          <w:r>
            <w:t>65</w:t>
          </w:r>
          <w:r>
            <w:fldChar w:fldCharType="end"/>
          </w:r>
          <w:r>
            <w:fldChar w:fldCharType="end"/>
          </w:r>
        </w:p>
        <w:p>
          <w:pPr>
            <w:pStyle w:val="6"/>
            <w:tabs>
              <w:tab w:val="right" w:leader="dot" w:pos="10466"/>
            </w:tabs>
          </w:pPr>
          <w:r>
            <w:fldChar w:fldCharType="begin"/>
          </w:r>
          <w:r>
            <w:instrText xml:space="preserve"> HYPERLINK \l _Toc13033 </w:instrText>
          </w:r>
          <w:r>
            <w:fldChar w:fldCharType="separate"/>
          </w:r>
          <w:r>
            <w:rPr>
              <w:rFonts w:hint="eastAsia"/>
              <w:lang w:val="en-US" w:eastAsia="zh-CN"/>
            </w:rPr>
            <w:t>TEXT23</w:t>
          </w:r>
          <w:r>
            <w:tab/>
          </w:r>
          <w:r>
            <w:fldChar w:fldCharType="begin"/>
          </w:r>
          <w:r>
            <w:instrText xml:space="preserve"> PAGEREF _Toc13033 \h </w:instrText>
          </w:r>
          <w:r>
            <w:fldChar w:fldCharType="separate"/>
          </w:r>
          <w:r>
            <w:t>68</w:t>
          </w:r>
          <w:r>
            <w:fldChar w:fldCharType="end"/>
          </w:r>
          <w:r>
            <w:fldChar w:fldCharType="end"/>
          </w:r>
        </w:p>
        <w:p>
          <w:pPr>
            <w:pStyle w:val="6"/>
            <w:tabs>
              <w:tab w:val="right" w:leader="dot" w:pos="10466"/>
            </w:tabs>
          </w:pPr>
          <w:r>
            <w:fldChar w:fldCharType="begin"/>
          </w:r>
          <w:r>
            <w:instrText xml:space="preserve"> HYPERLINK \l _Toc10462 </w:instrText>
          </w:r>
          <w:r>
            <w:fldChar w:fldCharType="separate"/>
          </w:r>
          <w:r>
            <w:rPr>
              <w:rFonts w:hint="eastAsia"/>
              <w:lang w:val="en-US" w:eastAsia="zh-CN"/>
            </w:rPr>
            <w:t>TEXT24</w:t>
          </w:r>
          <w:r>
            <w:tab/>
          </w:r>
          <w:r>
            <w:fldChar w:fldCharType="begin"/>
          </w:r>
          <w:r>
            <w:instrText xml:space="preserve"> PAGEREF _Toc10462 \h </w:instrText>
          </w:r>
          <w:r>
            <w:fldChar w:fldCharType="separate"/>
          </w:r>
          <w:r>
            <w:t>71</w:t>
          </w:r>
          <w:r>
            <w:fldChar w:fldCharType="end"/>
          </w:r>
          <w:r>
            <w:fldChar w:fldCharType="end"/>
          </w:r>
        </w:p>
        <w:p>
          <w:r>
            <w:fldChar w:fldCharType="end"/>
          </w:r>
        </w:p>
      </w:sdtContent>
    </w:sdt>
    <w:p>
      <w:pPr>
        <w:rPr>
          <w:rFonts w:hint="eastAsia"/>
          <w:lang w:val="en-US" w:eastAsia="zh-CN"/>
        </w:rPr>
      </w:pPr>
      <w:r>
        <w:rPr>
          <w:rFonts w:hint="eastAsia"/>
          <w:lang w:val="en-US" w:eastAsia="zh-CN"/>
        </w:rPr>
        <w:br w:type="page"/>
      </w:r>
    </w:p>
    <w:p>
      <w:pPr>
        <w:pStyle w:val="2"/>
        <w:bidi w:val="0"/>
        <w:rPr>
          <w:rFonts w:hint="eastAsia"/>
          <w:lang w:val="en-US" w:eastAsia="zh-CN"/>
        </w:rPr>
      </w:pPr>
      <w:bookmarkStart w:id="0" w:name="_Toc30250"/>
      <w:r>
        <w:rPr>
          <w:rFonts w:hint="eastAsia"/>
          <w:lang w:val="en-US" w:eastAsia="zh-CN"/>
        </w:rPr>
        <w:t>TEXT1</w:t>
      </w:r>
      <w:bookmarkEnd w:id="0"/>
    </w:p>
    <w:p>
      <w:pPr>
        <w:pStyle w:val="3"/>
        <w:keepNext w:val="0"/>
        <w:keepLines w:val="0"/>
        <w:pageBreakBefore w:val="0"/>
        <w:widowControl w:val="0"/>
        <w:kinsoku/>
        <w:wordWrap/>
        <w:overflowPunct/>
        <w:topLinePunct w:val="0"/>
        <w:autoSpaceDE/>
        <w:autoSpaceDN/>
        <w:bidi w:val="0"/>
        <w:adjustRightInd/>
        <w:snapToGrid/>
        <w:spacing w:line="400" w:lineRule="exact"/>
        <w:ind w:left="198" w:right="201" w:firstLine="437"/>
        <w:jc w:val="both"/>
        <w:textAlignment w:val="auto"/>
      </w:pPr>
      <w:r>
        <w:t>How can the train operators possibly justify yet another increase to rail passenger fares? It has become a grimly reliable annual ritual: every January the cost of travelling by train rises, imposing a significant extra burden on those who have no option but to use the rail network to get to work or otherwise. This year’s rise, an average of 2.7 percent, may be a fraction lower than last year’s, but it is still well above the official Consumer Price Index (CPI) measure of</w:t>
      </w:r>
      <w:r>
        <w:rPr>
          <w:spacing w:val="-23"/>
        </w:rPr>
        <w:t xml:space="preserve"> </w:t>
      </w:r>
      <w:r>
        <w:t>inflation.</w:t>
      </w:r>
    </w:p>
    <w:p>
      <w:pPr>
        <w:pStyle w:val="3"/>
        <w:keepNext w:val="0"/>
        <w:keepLines w:val="0"/>
        <w:pageBreakBefore w:val="0"/>
        <w:widowControl w:val="0"/>
        <w:kinsoku/>
        <w:wordWrap/>
        <w:overflowPunct/>
        <w:topLinePunct w:val="0"/>
        <w:autoSpaceDE/>
        <w:autoSpaceDN/>
        <w:bidi w:val="0"/>
        <w:adjustRightInd/>
        <w:snapToGrid/>
        <w:spacing w:before="3" w:line="400" w:lineRule="exact"/>
        <w:ind w:left="198" w:right="205" w:firstLine="437"/>
        <w:jc w:val="both"/>
        <w:textAlignment w:val="auto"/>
      </w:pPr>
      <w:r>
        <w:t>Successive governments have permitted such increases on the grounds that the cost of investing in and running the rail network should be borne by those who use it, rather than the general taxpayer. Why, the argument goes, should a car-driving pensioner from Lincolnshire have to subsidise the daily commute of a stockbroker from Surrey? Equally, there is a sense that the travails of commuters in the South East, many of whom will face among the biggest rises, have received too much attention compared to those who must endure the relatively poor infrastructure of the Midlands and the North.</w:t>
      </w:r>
    </w:p>
    <w:p>
      <w:pPr>
        <w:pStyle w:val="3"/>
        <w:keepNext w:val="0"/>
        <w:keepLines w:val="0"/>
        <w:pageBreakBefore w:val="0"/>
        <w:widowControl w:val="0"/>
        <w:kinsoku/>
        <w:wordWrap/>
        <w:overflowPunct/>
        <w:topLinePunct w:val="0"/>
        <w:autoSpaceDE/>
        <w:autoSpaceDN/>
        <w:bidi w:val="0"/>
        <w:adjustRightInd/>
        <w:snapToGrid/>
        <w:spacing w:before="2" w:line="400" w:lineRule="exact"/>
        <w:ind w:left="198" w:right="198" w:firstLine="437"/>
        <w:jc w:val="both"/>
        <w:textAlignment w:val="auto"/>
      </w:pPr>
      <w:r>
        <w:t>However, over the past 12 months, those commuters have also experienced some of  the worst rail strikes in years. It is all very well train operators trumpeting the improvements they are making to the network, but passengers should be able to expect a basic level of service for the substantial sums they are now paying to travel. The responsibility for the latest wave of strikes rests on the unions. However, there is a strong case that those who have been worst affected by industrial action should receive compensation for the disruption they have</w:t>
      </w:r>
      <w:r>
        <w:rPr>
          <w:spacing w:val="-11"/>
        </w:rPr>
        <w:t xml:space="preserve"> </w:t>
      </w:r>
      <w:r>
        <w:t>suffered.</w:t>
      </w:r>
    </w:p>
    <w:p>
      <w:pPr>
        <w:pStyle w:val="3"/>
        <w:keepNext w:val="0"/>
        <w:keepLines w:val="0"/>
        <w:pageBreakBefore w:val="0"/>
        <w:widowControl w:val="0"/>
        <w:kinsoku/>
        <w:wordWrap/>
        <w:overflowPunct/>
        <w:topLinePunct w:val="0"/>
        <w:autoSpaceDE/>
        <w:autoSpaceDN/>
        <w:bidi w:val="0"/>
        <w:adjustRightInd/>
        <w:snapToGrid/>
        <w:spacing w:before="2" w:line="400" w:lineRule="exact"/>
        <w:ind w:left="198" w:right="201" w:firstLine="437"/>
        <w:jc w:val="both"/>
        <w:textAlignment w:val="auto"/>
      </w:pPr>
      <w:r>
        <w:t>The Government has pledged to change the law to introduce a minimum service requirement so that, even when strikes occur, services can continue to operate. This should form part of a  wider package of measures to address the long-running problems on Britain’s railways. Yes, more investment is needed, but passengers will not be willing to pay more indefinitely if they must also endure cramped, unreliable services, punctuated by regular chaos when timetables are changed, or planned maintenance is managed incompetently. The threat of nationalisation may have been seen off for now, but it will return with a vengeance if the justified anger of passengers is not addressed in short order.</w:t>
      </w:r>
    </w:p>
    <w:p>
      <w:pPr>
        <w:pStyle w:val="3"/>
        <w:keepNext w:val="0"/>
        <w:keepLines w:val="0"/>
        <w:pageBreakBefore w:val="0"/>
        <w:widowControl w:val="0"/>
        <w:kinsoku/>
        <w:wordWrap/>
        <w:overflowPunct/>
        <w:topLinePunct w:val="0"/>
        <w:autoSpaceDE/>
        <w:autoSpaceDN/>
        <w:bidi w:val="0"/>
        <w:adjustRightInd/>
        <w:snapToGrid/>
        <w:spacing w:before="4" w:line="400" w:lineRule="exact"/>
        <w:ind w:left="200" w:right="200" w:firstLine="439"/>
        <w:jc w:val="both"/>
        <w:textAlignment w:val="auto"/>
      </w:pPr>
    </w:p>
    <w:p>
      <w:pPr>
        <w:pStyle w:val="3"/>
        <w:keepNext w:val="0"/>
        <w:keepLines w:val="0"/>
        <w:pageBreakBefore w:val="0"/>
        <w:widowControl w:val="0"/>
        <w:kinsoku/>
        <w:wordWrap/>
        <w:overflowPunct/>
        <w:topLinePunct w:val="0"/>
        <w:autoSpaceDE/>
        <w:autoSpaceDN/>
        <w:bidi w:val="0"/>
        <w:adjustRightInd/>
        <w:snapToGrid/>
        <w:spacing w:before="4" w:line="400" w:lineRule="exact"/>
        <w:ind w:right="200"/>
        <w:jc w:val="both"/>
        <w:textAlignment w:val="auto"/>
      </w:pPr>
    </w:p>
    <w:p>
      <w:pPr>
        <w:pStyle w:val="3"/>
        <w:keepNext w:val="0"/>
        <w:keepLines w:val="0"/>
        <w:pageBreakBefore w:val="0"/>
        <w:widowControl w:val="0"/>
        <w:kinsoku/>
        <w:wordWrap/>
        <w:overflowPunct/>
        <w:topLinePunct w:val="0"/>
        <w:autoSpaceDE/>
        <w:autoSpaceDN/>
        <w:bidi w:val="0"/>
        <w:adjustRightInd/>
        <w:snapToGrid/>
        <w:spacing w:before="4" w:line="400" w:lineRule="exact"/>
        <w:ind w:left="200" w:right="200" w:firstLine="439"/>
        <w:jc w:val="both"/>
        <w:textAlignment w:val="auto"/>
        <w:sectPr>
          <w:headerReference r:id="rId3" w:type="default"/>
          <w:footerReference r:id="rId4" w:type="default"/>
          <w:pgSz w:w="11906" w:h="16838"/>
          <w:pgMar w:top="720" w:right="720" w:bottom="720" w:left="720" w:header="851" w:footer="992" w:gutter="0"/>
          <w:cols w:space="425" w:num="1"/>
          <w:docGrid w:type="lines" w:linePitch="312" w:charSpace="0"/>
        </w:sectPr>
      </w:pPr>
    </w:p>
    <w:p>
      <w:pPr>
        <w:pStyle w:val="3"/>
        <w:keepNext w:val="0"/>
        <w:keepLines w:val="0"/>
        <w:pageBreakBefore w:val="0"/>
        <w:widowControl w:val="0"/>
        <w:kinsoku/>
        <w:wordWrap/>
        <w:overflowPunct/>
        <w:topLinePunct w:val="0"/>
        <w:autoSpaceDE/>
        <w:autoSpaceDN/>
        <w:bidi w:val="0"/>
        <w:adjustRightInd/>
        <w:snapToGrid/>
        <w:spacing w:before="4" w:line="400" w:lineRule="exact"/>
        <w:ind w:left="200" w:right="200" w:firstLine="439"/>
        <w:jc w:val="both"/>
        <w:textAlignment w:val="auto"/>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sectPr>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21.The author holds that this year’s increase in rail passengers fares</w:t>
      </w:r>
      <w:r>
        <w:rPr>
          <w:rFonts w:hint="eastAsia"/>
          <w:lang w:val="en-US" w:eastAsia="zh-CN"/>
        </w:rPr>
        <w:t>______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[A]will ease train operation’s burden</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[B]has kept pace with inflation</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[C]is a big surprise to commuters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[D]remains an unreasonable measure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22.The stockbroker in Para. 2 is used to stand for</w:t>
      </w:r>
      <w:r>
        <w:rPr>
          <w:rFonts w:hint="eastAsia"/>
          <w:lang w:val="en-US" w:eastAsia="zh-CN"/>
        </w:rPr>
        <w:t>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[A]car drivers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[B]rail </w:t>
      </w:r>
      <w:r>
        <w:rPr>
          <w:rFonts w:hint="eastAsia"/>
          <w:lang w:val="en-US" w:eastAsia="zh-CN"/>
        </w:rPr>
        <w:t>travellers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[C]local investors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[D]ordinary tax payers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23.It is indicated in Para. 3 that train operators</w:t>
      </w:r>
      <w:r>
        <w:rPr>
          <w:rFonts w:hint="eastAsia"/>
          <w:lang w:val="en-US" w:eastAsia="zh-CN"/>
        </w:rPr>
        <w:t>______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[A]are offering compensations to commuters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[B]are trying to repair </w:t>
      </w:r>
      <w:r>
        <w:rPr>
          <w:rFonts w:hint="eastAsia"/>
          <w:lang w:val="en-US" w:eastAsia="zh-CN"/>
        </w:rPr>
        <w:t>relations</w:t>
      </w:r>
      <w:r>
        <w:rPr>
          <w:rFonts w:hint="default"/>
          <w:lang w:val="en-US" w:eastAsia="zh-CN"/>
        </w:rPr>
        <w:t xml:space="preserve"> with the unions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[C]have failed to provide an adequate source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[D]have suffered huge losses owing to the strikes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24.If unable to calm down passengers, the railways may have to face</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[A]the loss of investment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[B]the collapse of operations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[C]a reduction of revenue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[D]a change of ownership</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25.Which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[A]Who Are to Blame for the Strikes?</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 xml:space="preserve">[B]Constant Complaining Doesn’t </w:t>
      </w:r>
      <w:r>
        <w:rPr>
          <w:rFonts w:hint="eastAsia"/>
          <w:lang w:val="en-US" w:eastAsia="zh-CN"/>
        </w:rPr>
        <w:t>Work</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[C]Can Nationalization Bring Hope?</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Ever-rising Fares Aren’t Sustainable</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B C D D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sectPr>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1" w:name="_Toc17738"/>
      <w:r>
        <w:rPr>
          <w:rFonts w:hint="eastAsia"/>
          <w:b/>
          <w:lang w:val="en-US" w:eastAsia="zh-CN"/>
        </w:rPr>
        <w:t>TEXT 2</w:t>
      </w:r>
      <w:bookmarkEnd w:id="1"/>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Last year marked the third year in a row of when Indonesia’s bleak rate of deforestation has slowed in pace. One reason for the turnaround may be the country’s antipoverty program.</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2007, Indonesia started phasing in a program that gives money to its poorest residents under certain conditions, such as requiring people to keep kids in school or get regular medical care. Called conditional cash transfers or CCTs, these social assistance programs are designed to reduce inequality and break the cycle of poverty. They’re already used in dozens of countries worldwide. In Indonesia, the program has provided enough food and medicine to substantially reduce severe growth problems among children.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CCT programs don’t generally consider effects on the environment. In fact, poverty alleviation and environmental protection are often viewed as conflicting goals, says Paul Ferraro, an economist at Johns Hopkins University.</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That’s because economic growth can be correlated with environmental degradation, while protecting the environment is sometimes correlated with greater poverty. However, those correlations don’t prove cause and effect. The only previous study analyzing causality, based on  an area in Mexico that had instituted CCTs, supported the traditional view. There, as people got more money, some of them may have more cleared land for cattle to raise for meat, Ferraro says.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Such programs do not have to negatively affect the environment, though. Ferraro wanted to see if Indonesia’s poverty-alleviation program was affecting deforestation. Indonesia has the third-largest area of tropical forest in the world and one of the highest deforestation rates.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Ferraro analyzed satellite data showing annual forest loss from 2008 to 2012—including during Indonesia’s phase-in of the antipoverty program—in 7,468 forested villages across 15 provinces and multiple islands. The duo separated the effects of the CCT program on forest loss from other factors, like weather and macroeconomic changes, which were  also  affecting forest loss. With that, “we see that the program is associated with a 30 percent reduction in deforestation,” Ferraro says.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That’s likely because the rural poor are using the money as makeshift insurance policies against inclement weather, Ferraro says. Typically, if rains are delayed, people may clear land to plant more rice to supplement their harvests. With the CCTs, individuals instead can use the money to supplement their harvests.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r>
        <w:rPr>
          <w:rFonts w:hint="default"/>
          <w:lang w:val="en-US" w:eastAsia="zh-CN"/>
        </w:rPr>
        <w:t>Whether this research translates elsewhere is anybody’s guess. Ferraro suggests the importance of growing rice and market access. And regardless of transferability, the study shows that what’s good for people may also be good for the value of the avoided deforestation just for carbon dioxide emissio</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ns alone is more than the program costs.”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sectPr>
          <w:type w:val="continuous"/>
          <w:pgSz w:w="11906" w:h="16838"/>
          <w:pgMar w:top="720" w:right="720" w:bottom="720" w:left="720" w:header="851" w:footer="992" w:gutter="0"/>
          <w:cols w:space="0"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26.According to the first two paragraphs, CCT programs aim to</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[A]facilitate health care reform</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[B]help poor families get better off</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[C]improve local education systems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[D]lower deforestation rates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 xml:space="preserve">27.The study based on an area in Mexico is cited to show that </w:t>
      </w:r>
      <w:r>
        <w:rPr>
          <w:rFonts w:hint="eastAsia"/>
          <w:lang w:val="en-US" w:eastAsia="zh-CN"/>
        </w:rPr>
        <w:t>_____</w:t>
      </w:r>
      <w:r>
        <w:rPr>
          <w:rFonts w:hint="default"/>
          <w:lang w:val="en-US" w:eastAsia="zh-CN"/>
        </w:rPr>
        <w:tab/>
      </w:r>
      <w:r>
        <w:rPr>
          <w:rFonts w:hint="default"/>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[A]cattle rearing has been a major means of livelihood for the poor</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[B]CCT programs have helped preserve traditional lifestyles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[C]antipoverty efforts require the participation of local farmers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[D]economic growth tends to cause environmental degradation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 xml:space="preserve">28.In his study about Indonesia, Ferraro intends to find out </w:t>
      </w:r>
      <w:r>
        <w:rPr>
          <w:rFonts w:hint="eastAsia"/>
          <w:lang w:val="en-US" w:eastAsia="zh-CN"/>
        </w:rPr>
        <w:t>_____</w:t>
      </w:r>
      <w:r>
        <w:rPr>
          <w:rFonts w:hint="default"/>
          <w:lang w:val="en-US" w:eastAsia="zh-CN"/>
        </w:rPr>
        <w:tab/>
      </w:r>
      <w:r>
        <w:rPr>
          <w:rFonts w:hint="default"/>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[A]its acceptance level of CCTs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[B]its annual rate of poverty alleviation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[C]the relation of CCTs to its forest loss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[D]the role of its forests in climate change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29.According to Ferraro, the CCT program in Indonesia is most valuable in that</w:t>
      </w:r>
      <w:r>
        <w:rPr>
          <w:rFonts w:hint="eastAsia"/>
          <w:lang w:val="en-US" w:eastAsia="zh-CN"/>
        </w:rPr>
        <w:t>____</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[A]it will benefit other Asian countries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[B]it will reduce regional inequality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[C]it can protect the environment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[D]it can boost grain production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30.What is the text centered 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[A]The effects of a program.</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[B]The debates over a program.</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[C]The process of a study.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t>[D]The transferability of a study.</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 B D C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rPr>
          <w:rFonts w:hint="default"/>
          <w:lang w:val="en-US" w:eastAsia="zh-CN"/>
        </w:rPr>
      </w:pPr>
      <w:r>
        <w:rPr>
          <w:rFonts w:hint="default"/>
          <w:lang w:val="en-US" w:eastAsia="zh-CN"/>
        </w:rPr>
        <w:br w:type="page"/>
      </w:r>
    </w:p>
    <w:p>
      <w:pPr>
        <w:pStyle w:val="2"/>
        <w:bidi w:val="0"/>
        <w:rPr>
          <w:rFonts w:hint="default"/>
          <w:lang w:val="en-US" w:eastAsia="zh-CN"/>
        </w:rPr>
      </w:pPr>
      <w:bookmarkStart w:id="2" w:name="_Toc11199"/>
      <w:r>
        <w:rPr>
          <w:rFonts w:hint="eastAsia"/>
          <w:lang w:val="en-US" w:eastAsia="zh-CN"/>
        </w:rPr>
        <w:t>TEXT3</w:t>
      </w:r>
      <w:bookmarkEnd w:id="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As a historian, who’s always searching for the text or the image that makes us re-evaluate the past. I’ve become preoccupied with looking for photographs that show our Victorian ancestors smiling (what better way to shatter the image of 19th-century prudery?). I’ve found quite a few, and—since I started posting them on Twitter—they have been causing quite a stir. People have been surprised to see evidence that Victorians had fun and could, and did, laugh. They are noting that the Victorians suddenly seem to become more human as the hundred-or-so years that separate us fade away through our common experience of laughter.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Of course, I need to concede that my collection of “Smiling Victorians” makes up only a tiny percentage of the vast catalogue of photographic portraiture created between 1840 and 1900, the majority of which show sitters posing miserably and stiffly in front of painted backdrops, or staring absently into the middle distance. How do we explain this trend?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During the 1840s and 1850s, in the early days of photography, exposure times were notoriously long: the daguerreotype photographic method (producing an image on a silvered copper plate) could take several minutes to complete, resulting in blurred images as sitters shifted position or adjusted their limbs. The thought of holding a fixed grin as the camera performed its magical duties was too much to contemplate, and so a non-committal blank stare became the  norm.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But exposure times were much quicker by the 1880s, and the introduction of the Box Brownie and other portable cameras meant that, though slow by today’s digital standards, the exposure was almost instantaneous. Spontaneous smiles were relatively easy to capture by the 1890s, so we must look elsewhere for an explanation of why Victorians still hesitated to smile.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One explanation might be the loss of dignity displayed through a cheesy grin. “Nature gave us lips to conceal our teeth,” ran one popular Victorian maxim, alluding to the fact that before the birth of proper dentistry, mouths were often in a shocking state of hygiene. A flashing set of healthy and clean, regular “pearly whites” was a rare sight in Victorian society, the preserve of the super-rich (and even then, dental hygiene was not guaranteed).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A toothy grin (especially when there were gaps or blackened gnashers) lacked class: drunks, tramps, prostitutes and buffoonish music hall performers might gurn and grin with a smile as wide as Lewis Carroll’s gum-exposing Cheshire Cat, but it was not a becoming look for properly bred persons. Even Mark Twain, a man who enjoyed a hearty laugh, said that when it came to photographic portraits there could be “nothing more damning than a silly, foolish smile fixed forever”.</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space="0" w:num="1"/>
          <w:docGrid w:type="lines" w:linePitch="312" w:charSpace="0"/>
        </w:sectPr>
      </w:pPr>
    </w:p>
    <w:p>
      <w:pPr>
        <w:rPr>
          <w:rFonts w:hint="default"/>
          <w:lang w:val="en-US" w:eastAsia="zh-CN"/>
        </w:rPr>
      </w:pPr>
      <w:r>
        <w:rPr>
          <w:rFonts w:hint="default"/>
          <w:lang w:val="en-US" w:eastAsia="zh-CN"/>
        </w:rPr>
        <w:t xml:space="preserve">31.According to Paragraph 1, the author’s posts on Twitter </w:t>
      </w:r>
      <w:r>
        <w:rPr>
          <w:rFonts w:hint="eastAsia"/>
          <w:lang w:val="en-US" w:eastAsia="zh-CN"/>
        </w:rPr>
        <w:t>_____</w:t>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[A]illustrated the development of Victorian photography</w:t>
      </w:r>
    </w:p>
    <w:p>
      <w:pPr>
        <w:rPr>
          <w:rFonts w:hint="default"/>
          <w:lang w:val="en-US" w:eastAsia="zh-CN"/>
        </w:rPr>
      </w:pPr>
    </w:p>
    <w:p>
      <w:pPr>
        <w:rPr>
          <w:rFonts w:hint="default"/>
          <w:lang w:val="en-US" w:eastAsia="zh-CN"/>
        </w:rPr>
      </w:pPr>
      <w:r>
        <w:rPr>
          <w:rFonts w:hint="default"/>
          <w:lang w:val="en-US" w:eastAsia="zh-CN"/>
        </w:rPr>
        <w:t>[B]highlighted social media’s role in Victorian studies</w:t>
      </w:r>
    </w:p>
    <w:p>
      <w:pPr>
        <w:rPr>
          <w:rFonts w:hint="default"/>
          <w:lang w:val="en-US" w:eastAsia="zh-CN"/>
        </w:rPr>
      </w:pPr>
    </w:p>
    <w:p>
      <w:pPr>
        <w:rPr>
          <w:rFonts w:hint="default"/>
          <w:lang w:val="en-US" w:eastAsia="zh-CN"/>
        </w:rPr>
      </w:pPr>
      <w:r>
        <w:rPr>
          <w:rFonts w:hint="default"/>
          <w:lang w:val="en-US" w:eastAsia="zh-CN"/>
        </w:rPr>
        <w:t>[C]re-evaluated the Victorian’s notion of public image</w:t>
      </w:r>
    </w:p>
    <w:p>
      <w:pPr>
        <w:rPr>
          <w:rFonts w:hint="default"/>
          <w:lang w:val="en-US" w:eastAsia="zh-CN"/>
        </w:rPr>
      </w:pPr>
    </w:p>
    <w:p>
      <w:pPr>
        <w:rPr>
          <w:rFonts w:hint="default"/>
          <w:lang w:val="en-US" w:eastAsia="zh-CN"/>
        </w:rPr>
      </w:pPr>
      <w:r>
        <w:rPr>
          <w:rFonts w:hint="default"/>
          <w:lang w:val="en-US" w:eastAsia="zh-CN"/>
        </w:rPr>
        <w:t>[D]changed people’s impression of the Victorians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32.What does the author say about the Victorian portraits he has collected?</w:t>
      </w:r>
    </w:p>
    <w:p>
      <w:pPr>
        <w:rPr>
          <w:rFonts w:hint="default"/>
          <w:lang w:val="en-US" w:eastAsia="zh-CN"/>
        </w:rPr>
      </w:pPr>
    </w:p>
    <w:p>
      <w:pPr>
        <w:rPr>
          <w:rFonts w:hint="default"/>
          <w:lang w:val="en-US" w:eastAsia="zh-CN"/>
        </w:rPr>
      </w:pPr>
      <w:r>
        <w:rPr>
          <w:rFonts w:hint="default"/>
          <w:lang w:val="en-US" w:eastAsia="zh-CN"/>
        </w:rPr>
        <w:t>[A]They are rare among photographs of that age.</w:t>
      </w:r>
    </w:p>
    <w:p>
      <w:pPr>
        <w:rPr>
          <w:rFonts w:hint="default"/>
          <w:lang w:val="en-US" w:eastAsia="zh-CN"/>
        </w:rPr>
      </w:pPr>
    </w:p>
    <w:p>
      <w:pPr>
        <w:rPr>
          <w:rFonts w:hint="default"/>
          <w:lang w:val="en-US" w:eastAsia="zh-CN"/>
        </w:rPr>
      </w:pPr>
      <w:r>
        <w:rPr>
          <w:rFonts w:hint="default"/>
          <w:lang w:val="en-US" w:eastAsia="zh-CN"/>
        </w:rPr>
        <w:t>[B]They show effects of different exposure times.</w:t>
      </w:r>
    </w:p>
    <w:p>
      <w:pPr>
        <w:rPr>
          <w:rFonts w:hint="default"/>
          <w:lang w:val="en-US" w:eastAsia="zh-CN"/>
        </w:rPr>
      </w:pPr>
    </w:p>
    <w:p>
      <w:pPr>
        <w:rPr>
          <w:rFonts w:hint="default"/>
          <w:lang w:val="en-US" w:eastAsia="zh-CN"/>
        </w:rPr>
      </w:pPr>
      <w:r>
        <w:rPr>
          <w:rFonts w:hint="default"/>
          <w:lang w:val="en-US" w:eastAsia="zh-CN"/>
        </w:rPr>
        <w:t>[C]They mirror 19th-century social conventions.</w:t>
      </w:r>
    </w:p>
    <w:p>
      <w:pPr>
        <w:rPr>
          <w:rFonts w:hint="default"/>
          <w:lang w:val="en-US" w:eastAsia="zh-CN"/>
        </w:rPr>
      </w:pPr>
    </w:p>
    <w:p>
      <w:pPr>
        <w:rPr>
          <w:rFonts w:hint="default"/>
          <w:lang w:val="en-US" w:eastAsia="zh-CN"/>
        </w:rPr>
      </w:pPr>
      <w:r>
        <w:rPr>
          <w:rFonts w:hint="default"/>
          <w:lang w:val="en-US" w:eastAsia="zh-CN"/>
        </w:rPr>
        <w:t>[D]They are in popular use among historians.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33.What might have kept the Victorians from smiling for pictures in the 1890s?</w:t>
      </w:r>
    </w:p>
    <w:p>
      <w:pPr>
        <w:rPr>
          <w:rFonts w:hint="default"/>
          <w:lang w:val="en-US" w:eastAsia="zh-CN"/>
        </w:rPr>
      </w:pPr>
    </w:p>
    <w:p>
      <w:pPr>
        <w:rPr>
          <w:rFonts w:hint="default"/>
          <w:lang w:val="en-US" w:eastAsia="zh-CN"/>
        </w:rPr>
      </w:pPr>
      <w:r>
        <w:rPr>
          <w:rFonts w:hint="default"/>
          <w:lang w:val="en-US" w:eastAsia="zh-CN"/>
        </w:rPr>
        <w:t>[A]Their inherent social sensitiveness.</w:t>
      </w:r>
    </w:p>
    <w:p>
      <w:pPr>
        <w:rPr>
          <w:rFonts w:hint="default"/>
          <w:lang w:val="en-US" w:eastAsia="zh-CN"/>
        </w:rPr>
      </w:pPr>
    </w:p>
    <w:p>
      <w:pPr>
        <w:rPr>
          <w:rFonts w:hint="default"/>
          <w:lang w:val="en-US" w:eastAsia="zh-CN"/>
        </w:rPr>
      </w:pPr>
      <w:r>
        <w:rPr>
          <w:rFonts w:hint="default"/>
          <w:lang w:val="en-US" w:eastAsia="zh-CN"/>
        </w:rPr>
        <w:t>[B]Their tension before the camera.</w:t>
      </w:r>
    </w:p>
    <w:p>
      <w:pPr>
        <w:rPr>
          <w:rFonts w:hint="default"/>
          <w:lang w:val="en-US" w:eastAsia="zh-CN"/>
        </w:rPr>
      </w:pPr>
    </w:p>
    <w:p>
      <w:pPr>
        <w:rPr>
          <w:rFonts w:hint="default"/>
          <w:lang w:val="en-US" w:eastAsia="zh-CN"/>
        </w:rPr>
      </w:pPr>
      <w:r>
        <w:rPr>
          <w:rFonts w:hint="default"/>
          <w:lang w:val="en-US" w:eastAsia="zh-CN"/>
        </w:rPr>
        <w:t>[C]Their distrust of new inventions.</w:t>
      </w:r>
    </w:p>
    <w:p>
      <w:pPr>
        <w:rPr>
          <w:rFonts w:hint="default"/>
          <w:lang w:val="en-US" w:eastAsia="zh-CN"/>
        </w:rPr>
      </w:pPr>
    </w:p>
    <w:p>
      <w:pPr>
        <w:rPr>
          <w:rFonts w:hint="default"/>
          <w:lang w:val="en-US" w:eastAsia="zh-CN"/>
        </w:rPr>
      </w:pPr>
      <w:r>
        <w:rPr>
          <w:rFonts w:hint="default"/>
          <w:lang w:val="en-US" w:eastAsia="zh-CN"/>
        </w:rPr>
        <w:t>[D]Their unhealthy dental condition.</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34.Mark Twain is quoted to show that the disapproval of smiles in pictures was</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[A]a deep-root belief</w:t>
      </w:r>
    </w:p>
    <w:p>
      <w:pPr>
        <w:rPr>
          <w:rFonts w:hint="default"/>
          <w:lang w:val="en-US" w:eastAsia="zh-CN"/>
        </w:rPr>
      </w:pPr>
    </w:p>
    <w:p>
      <w:pPr>
        <w:rPr>
          <w:rFonts w:hint="default"/>
          <w:lang w:val="en-US" w:eastAsia="zh-CN"/>
        </w:rPr>
      </w:pPr>
      <w:r>
        <w:rPr>
          <w:rFonts w:hint="default"/>
          <w:lang w:val="en-US" w:eastAsia="zh-CN"/>
        </w:rPr>
        <w:t>[B]a misguided attitude</w:t>
      </w:r>
    </w:p>
    <w:p>
      <w:pPr>
        <w:rPr>
          <w:rFonts w:hint="default"/>
          <w:lang w:val="en-US" w:eastAsia="zh-CN"/>
        </w:rPr>
      </w:pPr>
    </w:p>
    <w:p>
      <w:pPr>
        <w:rPr>
          <w:rFonts w:hint="default"/>
          <w:lang w:val="en-US" w:eastAsia="zh-CN"/>
        </w:rPr>
      </w:pPr>
      <w:r>
        <w:rPr>
          <w:rFonts w:hint="default"/>
          <w:lang w:val="en-US" w:eastAsia="zh-CN"/>
        </w:rPr>
        <w:t>[C]a controversial view</w:t>
      </w:r>
    </w:p>
    <w:p>
      <w:pPr>
        <w:rPr>
          <w:rFonts w:hint="default"/>
          <w:lang w:val="en-US" w:eastAsia="zh-CN"/>
        </w:rPr>
      </w:pPr>
    </w:p>
    <w:p>
      <w:pPr>
        <w:rPr>
          <w:rFonts w:hint="default"/>
          <w:lang w:val="en-US" w:eastAsia="zh-CN"/>
        </w:rPr>
      </w:pPr>
      <w:r>
        <w:rPr>
          <w:rFonts w:hint="default"/>
          <w:lang w:val="en-US" w:eastAsia="zh-CN"/>
        </w:rPr>
        <w:t>[D]a thought-provoking idea</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35.Which of the following questions does the text answer?</w:t>
      </w:r>
    </w:p>
    <w:p>
      <w:pPr>
        <w:rPr>
          <w:rFonts w:hint="default"/>
          <w:lang w:val="en-US" w:eastAsia="zh-CN"/>
        </w:rPr>
      </w:pPr>
    </w:p>
    <w:p>
      <w:pPr>
        <w:numPr>
          <w:ilvl w:val="0"/>
          <w:numId w:val="0"/>
        </w:numPr>
        <w:rPr>
          <w:rFonts w:hint="default"/>
          <w:lang w:val="en-US" w:eastAsia="zh-CN"/>
        </w:rPr>
      </w:pPr>
      <w:r>
        <w:rPr>
          <w:rFonts w:hint="default"/>
          <w:lang w:val="en-US" w:eastAsia="zh-CN"/>
        </w:rPr>
        <w:t>[A]Why did most Victorians look stern in photographs?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[B]Why did the Victorians start to view photographs?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[C]What made photography develop slowly in the Victorian period?</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[D]How did smiling in photographs become a post-Victorian norm?</w:t>
      </w:r>
    </w:p>
    <w:p>
      <w:pPr>
        <w:numPr>
          <w:ilvl w:val="0"/>
          <w:numId w:val="2"/>
        </w:num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D A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sectPr>
          <w:type w:val="continuous"/>
          <w:pgSz w:w="11906" w:h="16838"/>
          <w:pgMar w:top="720" w:right="720" w:bottom="720" w:left="720" w:header="851" w:footer="992" w:gutter="0"/>
          <w:cols w:space="425" w:num="1"/>
          <w:docGrid w:type="lines" w:linePitch="312" w:charSpace="0"/>
        </w:sect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3" w:name="_Toc22358"/>
      <w:r>
        <w:rPr>
          <w:rFonts w:hint="default"/>
          <w:b/>
          <w:lang w:val="en-US" w:eastAsia="zh-CN"/>
        </w:rPr>
        <w:t>Text 4</w:t>
      </w:r>
      <w:bookmarkEnd w:id="3"/>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From the early days of broadband, advocates for consumers and web-based companies worried that the cable and phone companies selling broadband connections had the power and incentive to favor their own or their partners’ websites and services over those of their rivals. That’s why there has been such a strong demand for rules that would prevent broadband providers from picking winners and losers online, preserving the freedom and innovation that have been the lifeblood of the internet.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Yet that demand has been almost impossible to fill — in part because of pushback from broadband providers, anti-regulatory conservatives and the courts. A federal appeals court  weighed in again Tuesday, but instead of providing a badly needed resolution, it only prolonged the fight. At issue before the U.S. Court of Appeals for the District of Columbia Circuit was the latest take of the Federal Communications Commission on net neutrality, adopted on a party-line vote in 2017. The Republican-penned order not only eliminated the strict net neutrality rules the FCC had adopted when it had a Democratic majority in 2015, but rejected the commission’s authority to require broadband providers to do much of anything. The order also declared that  state and local governments couldn’t regulate broadband providers either.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commission argued that other agencies would protect against anti-competitive behavior, such as a broadband-providing conglomerate like AT&amp;T favoring its own video-streaming service at the expense of Netflix and Apple TV. Yet the FCC also ended the investigations of broadband providers that imposed data caps on their rivals’ streaming services but not their own.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On Tuesday, the appeals court unanimously upheld the 2017 order deregulating broadband providers, citing a Supreme Court ruling from 2005 that upheld a similarly deregulatory move.  But Judge Patricia Millett rightly argued in a concurring opinion that "the result is unhinged from the realities of modern broadband service," and said Congress or the Supreme Court could intervene to "avoid trapping Internet regulation in technological anachronism."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the meantime, the court threw out the FCC’s attempt to block all state rules on net neutrality, while preserving the commission’s power to pre-empt individual state laws that undermine its order. That means more battles like the one now going on between the Justice Department and California, which enacted a tough net neutrality law in the wake of the FCC’s abdication.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endless legal battles and back-and-forth at the FCC cry out for Congress to act. It needs to give the commission explicit authority once and for all to bar broadband providers from meddling in the traffic on their network and to create clear rules protecting openness and innovation online.</w:t>
      </w:r>
      <w:r>
        <w:rPr>
          <w:rFonts w:hint="default"/>
          <w:lang w:val="en-US" w:eastAsia="zh-CN"/>
        </w:rPr>
        <w:br w:type="page"/>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t xml:space="preserve">36.There has long been concern that broadband provides would </w:t>
      </w:r>
      <w:r>
        <w:rPr>
          <w:rFonts w:hint="eastAsia"/>
          <w:lang w:val="en-US" w:eastAsia="zh-CN"/>
        </w:rPr>
        <w:t>_____</w:t>
      </w:r>
      <w:r>
        <w:rPr>
          <w:rFonts w:hint="default"/>
          <w:lang w:val="en-US" w:eastAsia="zh-CN"/>
        </w:rPr>
        <w:tab/>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[A]bring web-based firms under control</w:t>
      </w:r>
    </w:p>
    <w:p>
      <w:pPr>
        <w:rPr>
          <w:rFonts w:hint="default"/>
          <w:lang w:val="en-US" w:eastAsia="zh-CN"/>
        </w:rPr>
      </w:pPr>
    </w:p>
    <w:p>
      <w:pPr>
        <w:rPr>
          <w:rFonts w:hint="default"/>
          <w:lang w:val="en-US" w:eastAsia="zh-CN"/>
        </w:rPr>
      </w:pPr>
      <w:r>
        <w:rPr>
          <w:rFonts w:hint="default"/>
          <w:lang w:val="en-US" w:eastAsia="zh-CN"/>
        </w:rPr>
        <w:t>[B]slow down the traffic on their network</w:t>
      </w:r>
    </w:p>
    <w:p>
      <w:pPr>
        <w:rPr>
          <w:rFonts w:hint="default"/>
          <w:lang w:val="en-US" w:eastAsia="zh-CN"/>
        </w:rPr>
      </w:pPr>
    </w:p>
    <w:p>
      <w:pPr>
        <w:rPr>
          <w:rFonts w:hint="default"/>
          <w:lang w:val="en-US" w:eastAsia="zh-CN"/>
        </w:rPr>
      </w:pPr>
      <w:r>
        <w:rPr>
          <w:rFonts w:hint="default"/>
          <w:lang w:val="en-US" w:eastAsia="zh-CN"/>
        </w:rPr>
        <w:t>[C]show partiality in treating clients</w:t>
      </w:r>
    </w:p>
    <w:p>
      <w:pPr>
        <w:rPr>
          <w:rFonts w:hint="default"/>
          <w:lang w:val="en-US" w:eastAsia="zh-CN"/>
        </w:rPr>
      </w:pPr>
    </w:p>
    <w:p>
      <w:pPr>
        <w:rPr>
          <w:rFonts w:hint="default"/>
          <w:lang w:val="en-US" w:eastAsia="zh-CN"/>
        </w:rPr>
      </w:pPr>
      <w:r>
        <w:rPr>
          <w:rFonts w:hint="default"/>
          <w:lang w:val="en-US" w:eastAsia="zh-CN"/>
        </w:rPr>
        <w:t>[D]intensify competition with their rivals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xml:space="preserve">37.Faced with the demand for net neutrality rules, the FCC </w:t>
      </w:r>
      <w:r>
        <w:rPr>
          <w:rFonts w:hint="eastAsia"/>
          <w:lang w:val="en-US" w:eastAsia="zh-CN"/>
        </w:rPr>
        <w:t>________</w:t>
      </w:r>
      <w:r>
        <w:rPr>
          <w:rFonts w:hint="default"/>
          <w:lang w:val="en-US" w:eastAsia="zh-CN"/>
        </w:rPr>
        <w:tab/>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[A]sticks to an out-of-date order</w:t>
      </w:r>
    </w:p>
    <w:p>
      <w:pPr>
        <w:rPr>
          <w:rFonts w:hint="default"/>
          <w:lang w:val="en-US" w:eastAsia="zh-CN"/>
        </w:rPr>
      </w:pPr>
    </w:p>
    <w:p>
      <w:pPr>
        <w:rPr>
          <w:rFonts w:hint="default"/>
          <w:lang w:val="en-US" w:eastAsia="zh-CN"/>
        </w:rPr>
      </w:pPr>
      <w:r>
        <w:rPr>
          <w:rFonts w:hint="default"/>
          <w:lang w:val="en-US" w:eastAsia="zh-CN"/>
        </w:rPr>
        <w:t>[B]takes an anti-regulatory stance</w:t>
      </w:r>
    </w:p>
    <w:p>
      <w:pPr>
        <w:rPr>
          <w:rFonts w:hint="default"/>
          <w:lang w:val="en-US" w:eastAsia="zh-CN"/>
        </w:rPr>
      </w:pPr>
    </w:p>
    <w:p>
      <w:pPr>
        <w:rPr>
          <w:rFonts w:hint="default"/>
          <w:lang w:val="en-US" w:eastAsia="zh-CN"/>
        </w:rPr>
      </w:pPr>
      <w:r>
        <w:rPr>
          <w:rFonts w:hint="default"/>
          <w:lang w:val="en-US" w:eastAsia="zh-CN"/>
        </w:rPr>
        <w:t>[C]has issued a special resolution</w:t>
      </w:r>
    </w:p>
    <w:p>
      <w:pPr>
        <w:rPr>
          <w:rFonts w:hint="default"/>
          <w:lang w:val="en-US" w:eastAsia="zh-CN"/>
        </w:rPr>
      </w:pPr>
    </w:p>
    <w:p>
      <w:pPr>
        <w:rPr>
          <w:rFonts w:hint="default"/>
          <w:lang w:val="en-US" w:eastAsia="zh-CN"/>
        </w:rPr>
      </w:pPr>
      <w:r>
        <w:rPr>
          <w:rFonts w:hint="default"/>
          <w:lang w:val="en-US" w:eastAsia="zh-CN"/>
        </w:rPr>
        <w:t>[D]has allowed the states to intervene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38.What can be learned about AT&amp;T from Paragraph 3?</w:t>
      </w:r>
    </w:p>
    <w:p>
      <w:pPr>
        <w:rPr>
          <w:rFonts w:hint="default"/>
          <w:lang w:val="en-US" w:eastAsia="zh-CN"/>
        </w:rPr>
      </w:pPr>
    </w:p>
    <w:p>
      <w:pPr>
        <w:rPr>
          <w:rFonts w:hint="default"/>
          <w:lang w:val="en-US" w:eastAsia="zh-CN"/>
        </w:rPr>
      </w:pPr>
      <w:r>
        <w:rPr>
          <w:rFonts w:hint="default"/>
          <w:lang w:val="en-US" w:eastAsia="zh-CN"/>
        </w:rPr>
        <w:t>[A]It protects against unfair competition</w:t>
      </w:r>
    </w:p>
    <w:p>
      <w:pPr>
        <w:rPr>
          <w:rFonts w:hint="default"/>
          <w:lang w:val="en-US" w:eastAsia="zh-CN"/>
        </w:rPr>
      </w:pPr>
    </w:p>
    <w:p>
      <w:pPr>
        <w:rPr>
          <w:rFonts w:hint="default"/>
          <w:lang w:val="en-US" w:eastAsia="zh-CN"/>
        </w:rPr>
      </w:pPr>
      <w:r>
        <w:rPr>
          <w:rFonts w:hint="default"/>
          <w:lang w:val="en-US" w:eastAsia="zh-CN"/>
        </w:rPr>
        <w:t>[B]It engages in anti-competitive practices.</w:t>
      </w:r>
    </w:p>
    <w:p>
      <w:pPr>
        <w:rPr>
          <w:rFonts w:hint="default"/>
          <w:lang w:val="en-US" w:eastAsia="zh-CN"/>
        </w:rPr>
      </w:pPr>
    </w:p>
    <w:p>
      <w:pPr>
        <w:rPr>
          <w:rFonts w:hint="default"/>
          <w:lang w:val="en-US" w:eastAsia="zh-CN"/>
        </w:rPr>
      </w:pPr>
      <w:r>
        <w:rPr>
          <w:rFonts w:hint="default"/>
          <w:lang w:val="en-US" w:eastAsia="zh-CN"/>
        </w:rPr>
        <w:t>[C]It is under the FCC'S investigation.</w:t>
      </w:r>
    </w:p>
    <w:p>
      <w:pPr>
        <w:rPr>
          <w:rFonts w:hint="default"/>
          <w:lang w:val="en-US" w:eastAsia="zh-CN"/>
        </w:rPr>
      </w:pPr>
    </w:p>
    <w:p>
      <w:pPr>
        <w:rPr>
          <w:rFonts w:hint="default"/>
          <w:lang w:val="en-US" w:eastAsia="zh-CN"/>
        </w:rPr>
      </w:pPr>
      <w:r>
        <w:rPr>
          <w:rFonts w:hint="default"/>
          <w:lang w:val="en-US" w:eastAsia="zh-CN"/>
        </w:rPr>
        <w:t>[D]It is in pursuit of quality service.</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39.Judge Patricia Millett argues that the appeals court's decision</w:t>
      </w:r>
      <w:r>
        <w:rPr>
          <w:rFonts w:hint="eastAsia"/>
          <w:lang w:val="en-US" w:eastAsia="zh-CN"/>
        </w:rPr>
        <w:t>_____</w:t>
      </w:r>
      <w:r>
        <w:rPr>
          <w:rFonts w:hint="default"/>
          <w:lang w:val="en-US" w:eastAsia="zh-CN"/>
        </w:rPr>
        <w:t xml:space="preserve"> </w:t>
      </w:r>
      <w:r>
        <w:rPr>
          <w:rFonts w:hint="default"/>
          <w:lang w:val="en-US" w:eastAsia="zh-CN"/>
        </w:rPr>
        <w:tab/>
      </w: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[A]focuses on trivialities</w:t>
      </w:r>
    </w:p>
    <w:p>
      <w:pPr>
        <w:rPr>
          <w:rFonts w:hint="default"/>
          <w:lang w:val="en-US" w:eastAsia="zh-CN"/>
        </w:rPr>
      </w:pPr>
    </w:p>
    <w:p>
      <w:pPr>
        <w:rPr>
          <w:rFonts w:hint="default"/>
          <w:lang w:val="en-US" w:eastAsia="zh-CN"/>
        </w:rPr>
      </w:pPr>
      <w:r>
        <w:rPr>
          <w:rFonts w:hint="default"/>
          <w:lang w:val="en-US" w:eastAsia="zh-CN"/>
        </w:rPr>
        <w:t>[B]conveys an ambiguous message</w:t>
      </w:r>
    </w:p>
    <w:p>
      <w:pPr>
        <w:rPr>
          <w:rFonts w:hint="default"/>
          <w:lang w:val="en-US" w:eastAsia="zh-CN"/>
        </w:rPr>
      </w:pPr>
    </w:p>
    <w:p>
      <w:pPr>
        <w:rPr>
          <w:rFonts w:hint="default"/>
          <w:lang w:val="en-US" w:eastAsia="zh-CN"/>
        </w:rPr>
      </w:pPr>
      <w:r>
        <w:rPr>
          <w:rFonts w:hint="default"/>
          <w:lang w:val="en-US" w:eastAsia="zh-CN"/>
        </w:rPr>
        <w:t>[C]is at odds with its earlier rulings</w:t>
      </w:r>
    </w:p>
    <w:p>
      <w:pPr>
        <w:rPr>
          <w:rFonts w:hint="default"/>
          <w:lang w:val="en-US" w:eastAsia="zh-CN"/>
        </w:rPr>
      </w:pPr>
    </w:p>
    <w:p>
      <w:pPr>
        <w:rPr>
          <w:rFonts w:hint="default"/>
          <w:lang w:val="en-US" w:eastAsia="zh-CN"/>
        </w:rPr>
      </w:pPr>
      <w:r>
        <w:rPr>
          <w:rFonts w:hint="default"/>
          <w:lang w:val="en-US" w:eastAsia="zh-CN"/>
        </w:rPr>
        <w:t>[D]is out of touch with reality</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40.What does the author argue in the last paragraph?</w:t>
      </w:r>
    </w:p>
    <w:p>
      <w:pPr>
        <w:rPr>
          <w:rFonts w:hint="default"/>
          <w:lang w:val="en-US" w:eastAsia="zh-CN"/>
        </w:rPr>
      </w:pPr>
    </w:p>
    <w:p>
      <w:pPr>
        <w:rPr>
          <w:rFonts w:hint="default"/>
          <w:lang w:val="en-US" w:eastAsia="zh-CN"/>
        </w:rPr>
      </w:pPr>
      <w:r>
        <w:rPr>
          <w:rFonts w:hint="default"/>
          <w:lang w:val="en-US" w:eastAsia="zh-CN"/>
        </w:rPr>
        <w:t>[A]Congress needs to take action to ensure net neutrality.</w:t>
      </w:r>
    </w:p>
    <w:p>
      <w:pPr>
        <w:rPr>
          <w:rFonts w:hint="default"/>
          <w:lang w:val="en-US" w:eastAsia="zh-CN"/>
        </w:rPr>
      </w:pPr>
    </w:p>
    <w:p>
      <w:pPr>
        <w:rPr>
          <w:rFonts w:hint="default"/>
          <w:lang w:val="en-US" w:eastAsia="zh-CN"/>
        </w:rPr>
      </w:pPr>
      <w:r>
        <w:rPr>
          <w:rFonts w:hint="default"/>
          <w:lang w:val="en-US" w:eastAsia="zh-CN"/>
        </w:rPr>
        <w:t>[B]The FCC should be put under strict supervision.</w:t>
      </w:r>
    </w:p>
    <w:p>
      <w:pPr>
        <w:rPr>
          <w:rFonts w:hint="default"/>
          <w:lang w:val="en-US" w:eastAsia="zh-CN"/>
        </w:rPr>
      </w:pPr>
    </w:p>
    <w:p>
      <w:pPr>
        <w:rPr>
          <w:rFonts w:hint="default"/>
          <w:lang w:val="en-US" w:eastAsia="zh-CN"/>
        </w:rPr>
      </w:pPr>
      <w:r>
        <w:rPr>
          <w:rFonts w:hint="default"/>
          <w:lang w:val="en-US" w:eastAsia="zh-CN"/>
        </w:rPr>
        <w:t>[C]Rules need to be set to diversify online services.</w:t>
      </w:r>
    </w:p>
    <w:p>
      <w:pPr>
        <w:rPr>
          <w:rFonts w:hint="default"/>
          <w:lang w:val="en-US" w:eastAsia="zh-CN"/>
        </w:rPr>
      </w:pPr>
    </w:p>
    <w:p>
      <w:pPr>
        <w:rPr>
          <w:rFonts w:hint="default"/>
          <w:lang w:val="en-US" w:eastAsia="zh-CN"/>
        </w:rPr>
      </w:pPr>
      <w:r>
        <w:rPr>
          <w:rFonts w:hint="default"/>
          <w:lang w:val="en-US" w:eastAsia="zh-CN"/>
        </w:rPr>
        <w:t>[D]Broadband providers' rights should be protected.</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B B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sectPr>
          <w:type w:val="continuous"/>
          <w:pgSz w:w="11906" w:h="16838"/>
          <w:pgMar w:top="720" w:right="720" w:bottom="720" w:left="720" w:header="851" w:footer="992" w:gutter="0"/>
          <w:cols w:space="425" w:num="1"/>
          <w:docGrid w:type="lines" w:linePitch="312" w:charSpace="0"/>
        </w:sect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4" w:name="_Toc26723"/>
      <w:r>
        <w:rPr>
          <w:rFonts w:hint="eastAsia"/>
          <w:b/>
          <w:lang w:val="en-US" w:eastAsia="zh-CN"/>
        </w:rPr>
        <w:t>TEXT5</w:t>
      </w:r>
      <w:bookmarkEnd w:id="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 group of Labour MPs, among them Yvette Cooper, are bringing in the new year with a call to institute a UK “town of culture” award. The proposal is that it should sit alongside the existing city of culture title, which was held by Hull in 2017, and has been awarded to Coventry for 2021. Cooper and her colleagues argue that the success of the crown for Hull, where it brought in £220m of investment and an avalanche of arts, ought not to be confined to cities. Britain’s towns, it is true, are not prevented from applying, but they generally lack the resources to put together a bid to beat their bigger competitors. A town of culture award could, it is argued, become an annual event, attracting funding and creating jobs.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Some might see the proposal as a booby prize for the fact that Britain  is no longer able to apply for the much more prestigious title of European capital of culture, a sought-after award bagged by Glasgow in 1990 and Liverpool in 2008. A cynic might speculate that the UK is on the verge of disappearing into an endless fever of self-celebration in its desperation to reinvent itself for the post-Brexit world: after  town of culture, who knows what will follow-village of culture? Suburb of culture? Hamlet of culture?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It is also wise to recall that such titles are not a cure-all. A badly run “year of culture” washes in and washes out of a place like the tide, bringing prominence for a spell but leaving no lasting benefits to the community. The really successful  holders of such titles are those that do a great deal more than fill hotel bedrooms and bring in high-profile arts events and good press for a year. They transform the aspirations of the people who live there; they nudge the self-image of the city into a bolder and  more optimistic light. It is hard to get right, and requires a remarkable degree of vision, as well as cooperation between city authorities, the private sector, community groups and cultural organisations. But it can be done: Glasgow's year as European capital of culture can certainly be seen as one of a complex series of factors that have turned the city into the powerhouse of art, music and theatre that it remains today.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 “town of culture” could be not just about the arts but about honouring a town’s peculiarities—helping  sustain its high street, supporting  local facilities and above all celebrating its people. Jeremy Wright, the culture secretary, should welcome this positive, hope-filled proposal, and turn it into action.</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w:t>
      </w:r>
      <w:r>
        <w:rPr>
          <w:rFonts w:hint="default"/>
          <w:lang w:val="en-US" w:eastAsia="zh-CN"/>
        </w:rPr>
        <w:tab/>
      </w:r>
      <w:r>
        <w:rPr>
          <w:rFonts w:hint="default"/>
          <w:lang w:val="en-US" w:eastAsia="zh-CN"/>
        </w:rPr>
        <w:t>Cooper and her colleagues argue that a “town of culture” award could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consolidate the town-city ties in Britain.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promote cooperation-among Britain’s towns.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increase the economic strength of Britain’s towns.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focus Britain’s limited resources on cultural events.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w:t>
      </w:r>
      <w:r>
        <w:rPr>
          <w:rFonts w:hint="default"/>
          <w:lang w:val="en-US" w:eastAsia="zh-CN"/>
        </w:rPr>
        <w:tab/>
      </w:r>
      <w:r>
        <w:rPr>
          <w:rFonts w:hint="default"/>
          <w:lang w:val="en-US" w:eastAsia="zh-CN"/>
        </w:rPr>
        <w:t>According to Paragraph 2, the proposal might be regarded by some 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a sensible compromise.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a self-deceiving attempt.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an eye-catching bonus.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an inaccessible target.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w:t>
      </w:r>
      <w:r>
        <w:rPr>
          <w:rFonts w:hint="default"/>
          <w:lang w:val="en-US" w:eastAsia="zh-CN"/>
        </w:rPr>
        <w:tab/>
      </w:r>
      <w:r>
        <w:rPr>
          <w:rFonts w:hint="default"/>
          <w:lang w:val="en-US" w:eastAsia="zh-CN"/>
        </w:rPr>
        <w:t>The author suggests that a title holder is successful only if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endeavours to maintain its image.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meets the aspiration of its people.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brings its local arts to prominence.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commits to its long-term growth.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w:t>
      </w:r>
      <w:r>
        <w:rPr>
          <w:rFonts w:hint="default"/>
          <w:lang w:val="en-US" w:eastAsia="zh-CN"/>
        </w:rPr>
        <w:tab/>
      </w:r>
      <w:r>
        <w:rPr>
          <w:rFonts w:hint="default"/>
          <w:lang w:val="en-US" w:eastAsia="zh-CN"/>
        </w:rPr>
        <w:t>Glasgow is mentioned in Paragraph 3 to present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a contrasting case.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a supporting example.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 xml:space="preserve">a background story.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a related topic.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w:t>
      </w:r>
      <w:r>
        <w:rPr>
          <w:rFonts w:hint="default"/>
          <w:lang w:val="en-US" w:eastAsia="zh-CN"/>
        </w:rPr>
        <w:tab/>
      </w:r>
      <w:r>
        <w:rPr>
          <w:rFonts w:hint="default"/>
          <w:lang w:val="en-US" w:eastAsia="zh-CN"/>
        </w:rPr>
        <w:t>What is the author’s attitude towards the proposal?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t>
      </w:r>
      <w:r>
        <w:rPr>
          <w:rFonts w:hint="default"/>
          <w:lang w:val="en-US" w:eastAsia="zh-CN"/>
        </w:rPr>
        <w:tab/>
      </w:r>
      <w:r>
        <w:rPr>
          <w:rFonts w:hint="default"/>
          <w:lang w:val="en-US" w:eastAsia="zh-CN"/>
        </w:rPr>
        <w:t>Skeptical.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t>
      </w:r>
      <w:r>
        <w:rPr>
          <w:rFonts w:hint="default"/>
          <w:lang w:val="en-US" w:eastAsia="zh-CN"/>
        </w:rPr>
        <w:tab/>
      </w:r>
      <w:r>
        <w:rPr>
          <w:rFonts w:hint="default"/>
          <w:lang w:val="en-US" w:eastAsia="zh-CN"/>
        </w:rPr>
        <w:t>Objective.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t>
      </w:r>
      <w:r>
        <w:rPr>
          <w:rFonts w:hint="default"/>
          <w:lang w:val="en-US" w:eastAsia="zh-CN"/>
        </w:rPr>
        <w:tab/>
      </w:r>
      <w:r>
        <w:rPr>
          <w:rFonts w:hint="default"/>
          <w:lang w:val="en-US" w:eastAsia="zh-CN"/>
        </w:rPr>
        <w:t>Favourable.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t>
      </w:r>
      <w:r>
        <w:rPr>
          <w:rFonts w:hint="default"/>
          <w:lang w:val="en-US" w:eastAsia="zh-CN"/>
        </w:rPr>
        <w:tab/>
      </w:r>
      <w:r>
        <w:rPr>
          <w:rFonts w:hint="default"/>
          <w:lang w:val="en-US" w:eastAsia="zh-CN"/>
        </w:rPr>
        <w:t>Critical.</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 C B D B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p>
    <w:p>
      <w:pPr>
        <w:spacing w:after="549" w:afterLines="175" w:afterAutospacing="0"/>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p>
    <w:p>
      <w:pPr>
        <w:pStyle w:val="2"/>
        <w:bidi w:val="0"/>
        <w:rPr>
          <w:rFonts w:hint="default"/>
          <w:b/>
          <w:lang w:val="en-US" w:eastAsia="zh-CN"/>
        </w:rPr>
      </w:pPr>
      <w:bookmarkStart w:id="5" w:name="_Toc10162"/>
      <w:r>
        <w:rPr>
          <w:rFonts w:hint="eastAsia"/>
          <w:b/>
          <w:lang w:val="en-US" w:eastAsia="zh-CN"/>
        </w:rPr>
        <w:t>TEXT6</w:t>
      </w:r>
      <w:bookmarkEnd w:id="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Scientific publishing has long been a licence to print money. Scientists need journals in which to publish their research, so they will supply the articles without monetary reward. Other scientists perform the specialised work of peer review also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for free, because it is a central element in the acquisition of status and the production of scientific knowledge.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With the content of papers secured for free, the publisher needs only find a market for its journal. Until this century, university libraries were not very price sensitive. Scientific publishers routinely report profit margins approaching 40% on their operations at a time when the rest of the publishing industry is in an existential crisis.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Dutch giant Elsevier, which claims to publish 25% of the scientific papers produced in the world, made profits of more than £900m last year, while UK universities alone spent more than £210m in 2016 to enable researchers to access      their own publicly funded research; both figures seem to rise unstoppably despite increasingly desperate efforts to change them.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most drastic, an thoroughly illegal, reaction has been the emergence of Sci-Hub, a kind of global photocopier for scientific papers, set up in 2012, which now claims to offer access to every paywalled article published since 2015. The success of Sci-Hub, which relies on researchers passing on copies they have themselves legally accessed, shows the legal ecosystem has lost legitimacy among its users and must be transformed so that it works for all participants.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Britain the move towards open access publishing has been driven by funding bodies. In some ways it has been very successful. More than half of all British</w:t>
      </w:r>
      <w:r>
        <w:rPr>
          <w:rFonts w:hint="eastAsia"/>
          <w:lang w:val="en-US" w:eastAsia="zh-CN"/>
        </w:rPr>
        <w:t xml:space="preserve"> </w:t>
      </w:r>
      <w:r>
        <w:rPr>
          <w:rFonts w:hint="default"/>
          <w:lang w:val="en-US" w:eastAsia="zh-CN"/>
        </w:rPr>
        <w:t>scientific research is now published under open access terms: either freely available from the moment of publication, or paywalled for a year or more so that the publishers can make a profit before being placed on general release.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Yet the new system has not yet worked out any cheaper for the universities. Publishers have responded to the demand that they make their product free to readers by charging their writers fees to cover the costs of prep ring an article. These range   from around £500 to $5,000, and apparently the work gets more expensive the more  that publishers do it. A report last year pointed out that the costs both of subscriptions and of these “article preparation costs” had been steadily rising at a rate above inflation.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some ways the scientific publishing model resembles the economy of the social internet: labour is provided free in exchange for the hope of status, while huge profits are made by a few big firms who run the market places. In both cases, we need a rebalancing of power.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Scientific publishing is seen as “a licence to print money” partly because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funding has enjoyed a steady increase.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marketing strategy has been successful.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payment for peer review is reduced.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content acquisition costs nothing.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According to Paragraphs 2 and 3, scientific publishers Elsevier have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thrived mainly on university libraries.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gone through an existential crisis.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revived the publishing industry.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financed researchers generously.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 How does the author feel about the success of Sci-Hub?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Relieved.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Puzzled.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Concerned.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Encouraged.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It can be learned from Paragraphs 5 and 6 that open access terms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allow publishers some room to make money.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render publishing much easier for scientists.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reduce the cost of publication substantially.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free universities from financial burdens.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Which of the following characterizes the scientific publishing model?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Trial subscription is offered.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Labour triumphs over status.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Costs are well controlled.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few feed on the many.</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C A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sectPr>
          <w:type w:val="continuous"/>
          <w:pgSz w:w="11906" w:h="16838"/>
          <w:pgMar w:top="720" w:right="720" w:bottom="720" w:left="720" w:header="851" w:footer="992" w:gutter="0"/>
          <w:cols w:space="425" w:num="1"/>
          <w:docGrid w:type="lines" w:linePitch="312" w:charSpace="0"/>
        </w:sect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ind w:firstLine="420" w:firstLineChars="200"/>
        <w:rPr>
          <w:rFonts w:hint="default"/>
          <w:lang w:val="en-US" w:eastAsia="zh-CN"/>
        </w:rPr>
      </w:pPr>
    </w:p>
    <w:p>
      <w:pPr>
        <w:pStyle w:val="2"/>
        <w:bidi w:val="0"/>
        <w:rPr>
          <w:rFonts w:hint="default"/>
          <w:b/>
          <w:lang w:val="en-US" w:eastAsia="zh-CN"/>
        </w:rPr>
      </w:pPr>
      <w:bookmarkStart w:id="6" w:name="_Toc18575"/>
      <w:r>
        <w:rPr>
          <w:rFonts w:hint="eastAsia"/>
          <w:b/>
          <w:lang w:val="en-US" w:eastAsia="zh-CN"/>
        </w:rPr>
        <w:t>TEXT7</w:t>
      </w:r>
      <w:bookmarkEnd w:id="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Progressives often support diversity mandates as a path to equality and a way to level the playing field. But all too often such policies are an insincere form of virtue-signaling that benefits only the most privileged and does little to help average people.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 pair of bills sponsored by Massachusetts state Senator Jason Lewis and House Speaker Pro Tempore Patricia Haddad, to ensure “gender parity” on boards and commissions, provide a case in point.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Haddad and Lewis are concerned that more than half the state-government  boards are less than 40 percent female. In order to ensure that elite women have more   such opportunities, they have proposed imposing government quotas. If the bills</w:t>
      </w:r>
      <w:r>
        <w:rPr>
          <w:rFonts w:hint="eastAsia"/>
          <w:lang w:val="en-US" w:eastAsia="zh-CN"/>
        </w:rPr>
        <w:t xml:space="preserve"> </w:t>
      </w:r>
      <w:r>
        <w:rPr>
          <w:rFonts w:hint="default"/>
          <w:lang w:val="en-US" w:eastAsia="zh-CN"/>
        </w:rPr>
        <w:t>become law, state boards and commissions will be required to set aside 50 percent of board seats for women by 2022.</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bills are similar to a measure recently adopted in Califomia, which last year became the first state to require gender quotas for private companies. In signing the measure, California Governor Jerry Brown admitted that the law, which expressly classifies people on the basis of sex, is probably unconstitutional.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US Supreme Court frowns on sex-based classifications unless they are designed to address an “important” policy interest, Because the California law applies to all boards, even where there is no history of prior discrimination, courts are likely to rule that the law violates the constitutional guarantee of “equal protection”.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are such government mandates even necessary? Female participation on corporate boards may not currently mirror the percentage of women in the general population, but so what?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number of women on corporate boards has been steadily increasing without government interference. According to a study by Catalyst, between 2010 and 2015 the share of women on the boards of global corporations increased by 54 percent.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Requiring companies to make gender the primary qualification for board  membership will inevitably lead to less experienced private sector boards. That is exactly what happened when Norway adopted a nationwide corporate gender quota.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Writing in The New Republic, Alice Lee notes that increasing the number of opportunities for board membership without increasing the pool of qualified women to serve on such boards has led to a “golden skirt” phenomenon, where the same elite women scoop up multiple seats on a variety of boards.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Next time somebody pushes corporate quotas as a way to promote gender equity, remember that such policies are largely self-serving measures that make their sponsors feelgood but do little to help average women.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31.The author believes that the bills sponsored by Lewis and Haddad will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help little to reduce gender bias.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pose a threat to the state government.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raise women’s position in politics.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greatly broaden career options.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Which of the following is true of the Califormia measure?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has irritated private business owners.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welcomed by the Supreme Court.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 may go against the Constitution.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will settle the prior controversies.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The author mentions the study by Catalyst to illustrate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harm from arbitrary board decision.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importance of constitutional guarantees.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pressure on women in global corporations.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needlessness of government interventions.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Norway’s adoption of a nationwide corporate gender quota has led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underestimation of elite women’s role.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objection to female participation on boards.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entry of unqualified candidates into the board.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growing tension between labor and management.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Which of the following can be inferred from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Women’s need in employment should be considered.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Feasibility should be a prime concern in policymaking.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Everyone should try hard to promote social justice.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Major social issues should be the focus of legislation.</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br w:type="page"/>
      </w:r>
    </w:p>
    <w:p>
      <w:pPr>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D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7" w:name="_Toc26382"/>
      <w:r>
        <w:rPr>
          <w:rFonts w:hint="eastAsia"/>
          <w:b/>
          <w:lang w:val="en-US" w:eastAsia="zh-CN"/>
        </w:rPr>
        <w:t>TEXT8</w:t>
      </w:r>
      <w:bookmarkEnd w:id="7"/>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Last Thursday, the French Senate passed a digital services tax, which would  impose an entirely new tax on large multinationals that provide digital services to consumers or users in France. Digital services include everything from providing a platform for selling goods and services online to targeting advertising based on user   data, and the tax applies to gross revenue from such services. Many French politicians and media outlets have referred to this as a “ GAFA tax,” meaning that it is designed  to apply primarily to companies such as Google, Apple, Facebook and  Amazon—in other words, multinational tech companies based in the United States.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digital services tax now awaits the signature of President Emmanuel Macron, who has expressed support for the measure, and it could go into effect within the next few weeks. But it has already sparked significant controversy, with the United States trade representative opening an investigation into whether the tax discriminates against American companies, which in tum could lead to trade sanctions against France.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The French tax is not just a unilateral move by one country in need of revenue.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Instead, the digital services tax is part of a much larger trend, with countries over the past few years proposing or putting in place an alphabet soup of new international tax provisions. They have included Britain’s DPT. (diverted profits tax), Australia’s MAAL (multinational anti-avoidance law), and India’s  SEP  (significant economic presence) test, to name but a few. At the same time, the European Union, Spain, Britain and several other countries have all seriously contemplated digital services taxes.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These unilateral developments differ in their specifics, but they are all designed to tax multinationals on income and revenue that countries believe they should have a right to tax, even if international tax rules do not grant them that right. In other words, they all share a view that the international tax system has failed to keep up with the current economy.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response to these many unilateral measures, the Organization for Economic Cooperation and Development (OECD) is currently working with 131 countries to reach a consensus by the end of 2020 on an international solution. Both France and  the United States are involved in the organization's work, but France's digital services tax and the American response raise questions about what the future holds for the international tax system.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France’s planned tax is a clear warning: Unless a broad consensus can be reached on reforming the international tax system, other nations are likely to follow suit, and American companies will face a cascade of different taxes from dozens of nations that will prove burdensome and costly.</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36.The French Senate has passed a bill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regulate digital services platforms.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protect French companies” interests.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impose a levy on tech multinationals.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curb the influence of advertising.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It can be learned from Paragraph 2 that the digital services tax</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may trigger countermeasures against France.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is apt to arouse criticism at home and abroad.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aims to ease international trade tensions.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will prompt the tech giants to quit France.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The countries adopting the unilateral measures share the opinion that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redistribution of tech giants’ revenue must be ensured.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the current international tax system needs upgrading.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tech multinationals’ monopoly should be prevented.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all countries ought to enjoy equal taxing rights.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It can be learned from Paragraph 5 that the OECD’s current 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is being resisted  by  US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needs to be readjusted immediately.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is faced with uncertain prospects.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needs to in involve more countries.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might be the best title for this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[A] France Is Confronted with Trade Sanctions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[B] France leads the charge on Digital Tax</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[C] France Says “ NO ” to Tech Multinationals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
      </w:r>
      <w:r>
        <w:rPr>
          <w:rFonts w:hint="default"/>
          <w:lang w:val="en-US" w:eastAsia="zh-CN"/>
        </w:rPr>
        <w:t>[D] France Demands a Role in the Digital Economy</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A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b/>
          <w:lang w:val="en-US" w:eastAsia="zh-CN"/>
        </w:rPr>
      </w:pPr>
      <w:bookmarkStart w:id="8" w:name="_Toc28671"/>
      <w:r>
        <w:rPr>
          <w:rFonts w:hint="eastAsia"/>
          <w:b/>
          <w:lang w:val="en-US" w:eastAsia="zh-CN"/>
        </w:rPr>
        <w:t>TEXT9</w:t>
      </w:r>
      <w:bookmarkEnd w:id="8"/>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Financial regulators in Britain have imposed a rather unusual rule on the bosses of big banks. Starting next year, any guaranteed bonus of top executives could be delayed 10 years if their banks are under investigation for wrongdoing. The main purpose of this “clawback” rule is to hold bankers accountable for harmful risk-taking and to restore public trust in financial institutions. Yet officials also hope for a much larger benefit: more long-term decisionmaking, not only by banks but by all corporations, to build a stronger economy for future generations.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“Short-termism” or the desire for quick profits, has worsened in publicly traded companies, says the Bank of England’s top economist, Andrew Haldane. He quotes a giant of classical economics, Alfred Marshall, in describing this financial impatience as acting like “children who pick the plums out of their pudding to eat them at once” rather than putting them aside to be eaten last.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average time for holding a stock in both the United States and Britain, he notes, has dropped from seven years to seven months in recent decades. Transient investors, who demand high quarterly profits from companies, can hinder a firm’s efforts to invest in long-term research or to build up customer loyalty. This has been dubbed “quarterly capitalism.”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addition, new digital technologies have allowed more rapid trading of equities, quicker use of information, and thus shorter attention spans in financial markets. “There seems to be a predominance of short-term thinking at the  expense  of long-term investing,” said Commissioner Daniel Gallagher of the US Securities and Exchange Commission in a speech this week.</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 the US, the Sarbanes-Oxley Act of 2002 has pushed most public companies to defer performance bonuses for senior executives by about a year, slightly helping reduce “short-termism.” In its latest survey of CEO pay, The Wall Street Journal finds that “a substantial part” of executive pay is now tied to performance.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Much more could be done to encourage “long-termism,” such as changes in the tax code and quicker disclosure of stock acquisitions. In France, shareholders who hold onto a company investment for at least two years can sometimes earn more voting rights in a company.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Within companies, the right compensation design can provide incentives for executives to think beyond their own time at the company and on behalf of all stakeholders. Britain’s new rule is a reminder to bankers that society has an interest in their performance, not just for the short term but for the long term.</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21.According to Paragraph 1, one motive in imposing the new rule is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[A]enhance bankers’ sense of responsibility.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[B]help corporations achieve larger profits.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[C]build a new system of financial regulation.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[D]guarantee the bonuses of top executives.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22.Alfred Marshall is quoted to indicate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conditions for generating quick profits.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[B]governments’ impatience in decision-making.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solid structure of publicly traded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[D]“short-termism” in economic activities.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23.It is argued that the influence of transient investment on public companies can be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[A]indirect.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[B]adverse.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[C]minimal.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[D]temporary.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24.The US and France examples are used to illustrate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obstacles to preventing “short-termism”.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significance of long-term thinking.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approaches to promoting “long-termism”.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 prevalence of short-term thinking.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[A]Failure of Quarterly Capitalism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[B]Patience as a Corporate Virtue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[C]Decisiveness Required of Top Executives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[D]Frustration of Risk-taking Bankers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 xml:space="preserve"> 阅读答案：A D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9" w:name="_Toc12500"/>
      <w:r>
        <w:rPr>
          <w:rFonts w:hint="eastAsia"/>
          <w:b/>
          <w:lang w:val="en-US" w:eastAsia="zh-CN"/>
        </w:rPr>
        <w:t>TEXT10</w:t>
      </w:r>
      <w:bookmarkEnd w:id="9"/>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Grade inflation – the gradual increase in average GPAs (grade-point averages) over the past few decades – is often considered a product of a consumer era in higher education, in which students are treated like customers to be pleased. But another, related force – a policy often buried deep in course catalogs called “grade forgiveness” – is helping raise GPAs.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Grade forgiveness allows students to retake a course in which they received a low grade, and the most recent grade or the highest grade is the only one that counts  in calculating a student’s overall GPA.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use of this little-known practice has accelerated in recent years, as colleges continue to do their utmost to keep students in school (and paying tuition) and improve their graduation rates. When this practice first started decades ago, it was usually limited to freshmen, to give them a second chance to take a class in their first year if they struggled in their transition to college-level courses. But now most colleges, save for many selective campuses, allow all undergraduates, and even graduate students, to get their low grades forgiven.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College officials tend to emphasize that the goal of grade forgiveness is less about the grade itself and more about encouraging students to retake courses critical  to their degree program and graduation without incurring a big penalty. “Ultimately,” said Jack Miner, Ohio State University’s registrar, “we see students achieve more success because they retake a course and do better in subsequent courses or master  the content that allows them to graduate on time.”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That said, there is a way in which grade forgiveness satisfies colleges’ own needs as well. For public institutions, state funds are sometimes tied partly to their success on metrics such as graduation rates and student retention – so better grades can, by boosting figures like those, mean more money. And anything that  raises  GPAs  will  likely  make students – who, at the end of the day, are paying the bill – feel they’ve gotten a better value for their tuition dollars, which is another big concern for colleges.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Indeed, grade forgiveness is just another way that universities are responding to consumers’ expectations for higher education. Since students and parents expect a college degree to lead to a job, it is in the best interest of a school to turn out  graduates who are as qualified as possible – or at least appear to be. On this, students’ and colleges’ incentives seem to be aligned.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26.What is commonly regarded as the cause of grade inflation?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change of course catalogs.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[B]Students’ indifference to GPAs.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[C]Colleges’ neglect of GPAs.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 influence of consumer culture.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27.What was the original purpose of grade forgiveness?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help freshmen adapt to college learning.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maintain colleges’ graduation rates.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prepare graduates for a challenging future.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increase universities’ income from tuition.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28.According to Paragraph 5, grade forgiveness enables colleges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[A]obtain more financial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[B]boost their student enrollments.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[C]improve their teaching quality.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[D]meet local governments’ needs.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29.What does the phrase “to be aligned” (Line 5, Para. 6) most probably mean?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counterbalance each 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complement each 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be identical with each 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be contradictory to each 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30.The author examines the practice of grade forgiveness by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[A]assessing its feasibility.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[B]analyzing the causes behind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[C]comparing different views on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[D]listing its long-run effects.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阅读答案：D A A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lang w:val="en-US" w:eastAsia="zh-CN"/>
        </w:rPr>
      </w:pPr>
      <w:bookmarkStart w:id="10" w:name="_Toc142"/>
      <w:r>
        <w:rPr>
          <w:rFonts w:hint="eastAsia"/>
          <w:lang w:val="en-US" w:eastAsia="zh-CN"/>
        </w:rPr>
        <w:t>TEXT11</w:t>
      </w:r>
      <w:bookmarkEnd w:id="1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This year marks exactly two centuries since the publication of “Frankenstein; or, The Modern Prometheus,” by Mary Shelley. Even before the invention of the electric light bulb, the author produced a remarkable work of speculative fiction that would foreshadow many ethical questions to be raised by technologies yet to come.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Today the rapid growth of artificial intelligence (AI) raises fundamental questions: “What is intelligence, identity, or consciousness? What makes humans humans?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What is being called artificial general intelligence, machines that would imitate the way humans think, continues to evade scientists. Yet humans remain fascinated by the idea of robots that would look, move, and respond like humans, similar to those recently depicted on popular sci-fi TV series such as “Westworld” and “Humans.”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Just how people think is still far too complex to be understood, let alone reproduced, says David Eagleman, a Stanford University neuroscientist. “We are just in a situation where there are no good theories explaining what consciousness actually is and how you could ever build a machine to get there.”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that doesn’t mean crucial ethical issues involving AI aren’t at hand. The coming use of autonomous vehicles, for example, poses thorny ethical questions. Human drivers sometimes must make split-second decisions. Their reactions may be  a complex combination of instant reflexes, input from past driving experiences, and what their eyes and ears tell them in that moment. AI “vision” today is not nearly as sophisticated as that of humans. And to anticipate every imaginable driving situation is a difficult programming problem.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Whenever decisions are based on masses of data, “you quickly get into a lot of ethical questions,” notes Tan Kiat How, chief executive of a Singapore-based agency that is helping the government develop a voluntary code for the ethical use of AI. Along with Singapore, other governments and mega-corporations are beginning to establish their own guidelines. Britain is setting up a data ethics center. India released its AI ethics strategy this spring.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On June 7 Google pledged not to “design or deploy AI” that would cause “overall harm,” or to develop AI-directed weapons or use AI for surveillance that would violate international norms. It also pledged not to deploy AI whose use would violate international laws or human rights.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While the statement is vague, it represents one starting point. So does the idea that decisions made by AI systems should be explainable, transparent, and fair.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To put it another way: How can we make sure that the thinking of intelligent machines reflects humanity’s highest values? Only then will they be useful servants and not Frankenstein’s out-of-control monster.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31.Mary Shelley’s novel Frankenstein is mentioned because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[A]fascinates AI scientists all over the world.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[B]has remained popular for as long as 200 years.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[C]involves some concerns raised by AI today.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[D]has sparked serious ethical controversies.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32.In David Eagleman’s opinion, our current knowledge of consciousness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[A]helps explain artificial intelligence.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[B]can be misleading to robot making.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[C]inspires popular sci-fi TV series.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[D]is too limited for us to reproduce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33.The solution to the ethical issues brought by autonomous vehicles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[A]can hardly ever be found.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[B]is still beyond our capacity.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[C]causes little public concern.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[D]has aroused much curiosity.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34.The author’s attitude toward Google’s pledges is one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[A]affirmation.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[B]skepticism.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[C]contempt.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[D]respect.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[A]AI’s Future: In the Hands of Tech Giants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[B]Frankenstein, the Novel Predicting the Age of AI</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Conscience of AI: Complex But Inevitable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[D]AI Shall Be Killers Once Out of Control</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阅读答案：C D B A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default"/>
          <w:b/>
          <w:lang w:val="en-US" w:eastAsia="zh-CN"/>
        </w:rPr>
      </w:pPr>
      <w:bookmarkStart w:id="11" w:name="_Toc11044"/>
      <w:r>
        <w:rPr>
          <w:rFonts w:hint="eastAsia"/>
          <w:b/>
          <w:lang w:val="en-US" w:eastAsia="zh-CN"/>
        </w:rPr>
        <w:t>TEXT12</w:t>
      </w:r>
      <w:bookmarkEnd w:id="1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States will be able to force more people to pay sales tax when they make online purchases under a Supreme Court decision Thursday that will leave shoppers with lighter wallets but is a big financial win for states.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Supreme Court’s opinion Thursday overruled a pair of decades-old decisions that states said cost them billions of dollars in lost revenue annually. The decisions made it more difficult for states to collect sales tax on certain online purchases.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cases the court overturned said that if a business was shipping a customer’s purchase to a state where the business didn’t have a physical presence such as a warehouse or office, the business didn’t have to collect sales tax for the state. Customers were generally responsible for paying the sales tax to the state themselves if they weren’t charged it, but most didn’t realize they owed it and few paid.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Justice Anthony Kennedy wrote that the previous decisions were flawed. “Each year the physical presence rule becomes further removed from economic reality and results in significant revenue losses to the States,” he wrote in an opinion joined by four other justices. Kennedy wrote that the rule “limited states’ ability to seek long-term prosperity and has prevented market participants from competing on an even playing field.”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ruling is a victory for big chains with a presence in many states, since they usually collect sales tax on online purchases already. Now, rivals will be charging sales tax where they hadn’t before. Big chains have been collecting sales tax nationwide because they typically have physical stores in whatever state a purchase is being shipped to. Amazon.com, with its network of warehouses, also collects sales tax in every state that charges it, though third-party sellers who use the site don’t have to.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Until now, many sellers that have a physical presence in only a single state or a few states have been able to avoid charging sales taxes when they ship to addresses outside those states. Sellers that use eBay and Etsy, which provide platforms for smaller sellers, also haven’t been collecting sales tax nationwide. Under the ruling Thursday, states can pass laws requiring out-of-state sellers to collect the state’s sales tax from customers and send it to the state.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Retail trade groups praised the ruling, saying it levels the playing field for local and online businesses. The losers, said retail analyst Neil Saunders, are online-only retailers, especially smaller ones. Those retailers may face headaches complying with various state sales tax laws. The Small Business &amp; Entrepreneurship Council advocacy group said in a statement, “Small businesses and internet entrepreneurs are not well served at all by this decision.”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36.The Supreme Court decision Thursday will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[A]better businesses’ relations with states.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[B]put most online businesses in a dilemma.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[C]make more online shoppers pay sales tax.</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[D]force some states to cut sales tax.</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37.It can be learned from paragraphs 2 and 3 that the overruled decisions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[A]have led to the dominance of e-commerce.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[B]have cost consumers a lot over the years.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[C]were widely criticized by online purchasers.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[D]were considered unfavorable by states.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38.According to Justice Anthony Kennedy, the physical presence rule has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[A]hindered economic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[B]brought prosperity to the country.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[C]harmed fair market competition.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[D]boosted growth in states’ revenue.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39.Who are most likely to welcome the Supreme Court ruling?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[A]Internet entrepreneurs.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[B]Big-chain owners.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[C]Third-party sellers.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[D]Small retailers.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40.In dealing with the Supreme Court decision Thursday, the author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[A]gives a factual account of it and discusses its consequences.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[B]describes the long and complicated process of its making.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[C]presents its main points with conflicting views on them.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[D]cites some cases related to it and analyzes their implications.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阅读答案：C D C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b/>
          <w:lang w:val="en-US" w:eastAsia="zh-CN"/>
        </w:rPr>
      </w:pPr>
      <w:bookmarkStart w:id="12" w:name="_Toc11461"/>
      <w:r>
        <w:rPr>
          <w:rFonts w:hint="eastAsia"/>
          <w:b/>
          <w:lang w:val="en-US" w:eastAsia="zh-CN"/>
        </w:rPr>
        <w:t>TEXT13</w:t>
      </w:r>
      <w:bookmarkEnd w:id="12"/>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①Among the annoying challenges facing the middle class is one that will probably go unmentioned in the next presidential campaign: What happens when the robots come for their jobs?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①Don't dismiss that possibility entirely. ②About half of U.S. jobs are at high risk of being automated, according to a University of Oxford study, with the middle class disproportionately squeezed. ③Lower-income jobs like gardening or day care don't appeal to robots. ④But many middle-class occupations—trucking, financial advice, software engineering—have aroused their interest, or soon will. ⑤The rich own the robots, so they will be fine.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①This isn't to be alarmist. ②Optimists point out that technological upheaval has benefited workers in the past. ③The Industrial Revolution didn't go so well for Luddites whose jobs were displaced by mechanized looms, but it eventually raised living standards and created more jobs than it destroyed. ④Likewise, automation should eventually boost productivity, stimulate demand by driving down prices, and free workers from hard, boring work. ⑤But in the medium term, middle-class workers may need a lot of help adjusting.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first step, as Erik Brynjolfsson and Andrew McAfee argue in The Second Machine Age, should be rethinking education and job training. ②Curriculums—from grammar school to college—should evolve to focus less on memorizing facts and more on creativity and complex communication. ③Vocational schools should do a better job of fostering problem-solving skills and helping students work alongside robots. ④Online education can supplement the traditional kind. ⑤It could make extra training and instruction affordable. ⑥Professionals trying to acquire new skills will be able to do so without going into debt.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challenge of coping with automation underlines the need for the U.S. to revive its fading business dynamism: Starting new companies must be made easier. ②In previous eras of drastic technological change, entrepreneurs smoothed the transition by dreaming up ways to combine labor and machines. ③The best uses of 3D printers and virtual reality haven't been invented yet. ④The U.S. needs the new companies that will invent them.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①Finally, because automation threatens to widen the gap between capital income and labor income, taxes and the safety net will have to be rethought. ②Taxes on low-wage labor need to be cut, and wage subsidies such as the earned income tax credit should be expanded: This would boost incomes, encourage work, reward companies for job creation, and reduce inequality.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①Technology will improve society in ways big and small over the next few years, yet this will be little comfort to those who find their lives and careers upended by automation. ②Destroying the machines that are coming for our jobs would be nuts. ③But policies to help workers adapt will be indispensable.</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Who will be most threatened by automation?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Leading politicians.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Low-wage laborers.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Robot owners.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Middle-class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Which of the following best represents the author’s view?</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Worries about automation are in fact groundless.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Optimists’ opinions on new tech find little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Issues arising from automation need to be tackled.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Negative consequences of new tech can be avoided.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Education in the age of automation should put more emphasis 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creative potential.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job-hunting skills.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individual needs.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cooperative spirit.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The author suggests that tax policies be aimed 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encouraging the development of automation.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increasing the return on capital investment.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easing the hostility between rich and poor.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preventing the income gap from widening.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In this text, the author presents a problem with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opposing views on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possible solutions to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alarming impacts.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major variations.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C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3" w:name="_Toc30628"/>
      <w:r>
        <w:rPr>
          <w:rFonts w:hint="eastAsia"/>
          <w:b/>
          <w:lang w:val="en-US" w:eastAsia="zh-CN"/>
        </w:rPr>
        <w:t>TEXT14</w:t>
      </w:r>
      <w:bookmarkEnd w:id="1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 new survey by Harvard University finds more than two-thirds of young Americans disapprove of President Trump’s use of Twitter. ②The implication is that Millennials prefer news from the White House to be filtered through other sources, not a president’s social media platform.</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①Most Americans rely on social media to check daily headlines. ②Yet as distrust has risen toward all media, people may be starting to beef up their media literacy skills. ③Such a trend is badly needed. ④During the 2016 presidential campaign, nearly a quarter of web content shared by Twitter users in the politically critical state of Michigan was fake news, according to the University of Oxford. ⑤And a survey conducted for BuzzFeed News found 44 percent of Facebook users rarely or never trust news from the media giant.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①Young people who are digital natives are indeed becoming more skillful at separating fact from fiction in cyberspace. ②A Knight Foundation focus-group survey of young people between ages 14 and 24 found they use “distributed trust” to verify stories. ③They cross-check sources and prefer news from different perspectives—especially those that are open about any bias. ④“Many young people assume a great deal of personal responsibility for educating themselves and actively seeking out opposing viewpoints,” the survey concluded.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①Such active research can have another effect. ②A 2014 survey conducted in Australia, Britain, and the United States by the University of Wisconsin-Madison found that young people’s reliance on social media led to greater political engagement.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①Social media allows users to experience news events more intimately and immediately while also permitting them to re-share news as a projection of their values and interests. ②This forces users to be more conscious of their role in passing along information. ③A survey by Barna research group found the top reason given by Americans for the fake news phenomenon is “reader error,” more so than made-up stories or factual mistakes in reporting. ④About a third say the problem of fake news lies in “misinterpretation or exaggeration of actual news” via social media. ⑤In other words, the choice to share news on social media may be the heart of the issue. ⑥“This indicates there is a real personal responsibility in counteracting this problem,” says Roxanne Stone, editor in chief at Barna Group.</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 when young people are critical of an over-tweeting president, they reveal a mental discipline in thinking skills—and in their choices on when to share on social media.</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According to Paragraphs 1 and 2, many young Americans cast doubt 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justification of the news-filtering practice.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people's preference for social media platforms.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administration's ability to handle information.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social media as a reliable source of news.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The phrase "beef up” (Para. 2) is closest in meaning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sharpen.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define.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boast.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share.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According to the Knight Foundation survey, young people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[A] tend to voice their opinions in cyberspace.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[B] verify news by referring to diverse sources.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[C] have a strong sense of social responsibility.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like to exchange views on "distributed trust".</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Barna survey found that a main cause for the fake news problem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readers' misinterpretation.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journalists' biased reporting.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readers' outdated values.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journalists' made-up stories.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 Counteraction Against the Over-tweeting Trend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 Rise in Critical Skills for Sharing News Online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Accumulation of Mutual Trust on Social Media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Platforms for Projection of Personal Interests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4" w:name="_Toc27631"/>
      <w:r>
        <w:rPr>
          <w:rFonts w:hint="eastAsia"/>
          <w:b/>
          <w:lang w:val="en-US" w:eastAsia="zh-CN"/>
        </w:rPr>
        <w:t>TEXT15</w:t>
      </w:r>
      <w:bookmarkEnd w:id="1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①Any fair-minded assessment of the dangers of the deal between Britain's National Health Service (NHS) and DeepMind must start by acknowledging that both sides mean well. ②DeepMind is one of the leading artificial intelligence (AI) companies in the world. ③The potential of this work applied to healthcare is very great, but it could also lead to further concentration of power in the tech giants. ④It is against that background that the information commissioner, Elizabeth Denham, has issued her damning verdict against the Royal Free hospital trust under the NHS, which handed over to DeepMind the records of 1.6 million patients in 2015 on the basis of a vague agreement which took far too little account of the patients' rights and their expectations of privacy.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①DeepMind has almost apologised. ②The NHS trust has mended its ways. ③Further arrangements—and there may be many—between the NHS and DeepMind will be carefully scrutinised to ensure that all necessary permissions have been asked of patients and all unnecessary data has been cleaned. ④There are lessons about informed patient consent to learn. ⑤But privacy is not the only angle in this case and not even the most important. ⑥Ms Denham chose to concentrate the blame on the NHS trust, since under existing law it “controlled” the data and DeepMind merely “processed” it. ⑦But this distinction misses the point that it is processing and aggregation, not the mere possession of bits, that gives the data value.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great question is who should benefit from the analysis of all the data that our lives now generate. ②Privacy law builds on the concept of damage to an individual from identifiable knowledge about them. ③That misses the way the surveillance economy works. ④The data of an individual there gains its value only when it is compared with the data of countless millions more.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use of privacy law to curb the tech giants in this instance feels slightly maladapted. ②This practice does not address the real worry. ③It is not enough to say that the algorithms DeepMind develops will benefit patients and save lives. ④What matters is that they will belong to a private monopoly which developed them using public resources. ⑤If software promises to save lives on the scale that drugs now can, big data may be expected to behave as big pharma has done. ⑥We are still at the beginning of this revolution and small choices now may turn out to have gigantic consequences later. ⑦A long struggle will be needed to avoid a future of digital feudalism. ⑧Ms Denham’s report is a welcome start.</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What is true of the agreement between the NHS and DeepMind?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caused conflicts among tech giants.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failed to pay due attention to patients' rights.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 fell short of the latter's expectations.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put both sides into a dangerous situation.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The NHS trust responded to Denham's verdict with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empty promises.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tough resistance.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necessary adjustments.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sincere apologies.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The author argues in Paragraph 2 that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privacy protection must be secured at all costs.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leaking patients' data is worse than selling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making profits from patients' data is illegal.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value of data comes from the processing of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According to the last paragraph, the real worry arising from this deal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vicious rivalry among big pharmas.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ineffective enforcement of privacy law.</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uncontrolled use of new software.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monopoly of big data by tech giants.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The author's attitude toward the application of AI to healthcare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ambiguous.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cautious.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appreciative.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contemptuous.</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D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5" w:name="_Toc972"/>
      <w:r>
        <w:rPr>
          <w:rFonts w:hint="eastAsia"/>
          <w:b/>
          <w:lang w:val="en-US" w:eastAsia="zh-CN"/>
        </w:rPr>
        <w:t>TEXT16</w:t>
      </w:r>
      <w:bookmarkEnd w:id="1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U.S. Postal Service (USPS) continues to bleed red ink. ②It reported a net loss of $5.6 billion for fiscal 2016, the 10th straight year its expenses have exceeded revenue. ③Meanwhile, it has more than $120 billion in unfunded liabilities, mostly for employee health and retirement costs. ④There are many reasons this formerly stable federal institution finds itself on the verge of bankruptcy. ⑤Fundamentally, the USPS is in a historic squeeze between technological change that has permanently decreased demand for its bread-and-butter product, first-class mail, and a regulatory structure that denies management the flexibility to adjust its operations to the new reality.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①And interest groups ranging from postal unions to greeting-card makers exert self-interested pressure on the USPS’s ultimate overseer—Congress—insisting that whatever else happens to the Postal Service, aspects of the status quo they depend on get protected. ②This is why repeated attempts at reform legislation have failed in recent years, leaving the Postal Service unable to pay its bills except by deferring vital modernization.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①Now comes word that everyone involved—Democrats, Republicans, the Postal Service, the unions and the system's heaviest users—has finally agreed on a plan to fix the system. ②Legislation is moving through the House that would save USPS an estimated $28.6 billion over five years, which could help pay for new vehicles, among other survival measures. ③Most of the money would come from a penny-per-letter permanent rate increase and from shifting postal retirees into Medicare. ④The latter step would largely offset the financial burden of annually pre-funding retiree health care, thus addressing a long-standing complaint by the USPS and its unions.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①If it clears the House, this measure would still have to get through the Senate—where someone is bound to point out that it amounts to the bare, bare minimum necessary to keep the Postal Service afloat, not comprehensive reform. ②There’s no change to collective bargaining at the USPS, a major omission considering that personnel accounts for 80 percent of the agency’s costs. ③Also missing is any discussion of eliminating Saturday letter delivery. ④That common-sense change enjoys wide public support and would save the USPS $2 billion per year. ⑤But postal special-interest groups seem to have killed it, at least in the House. ⑥The emerging consensus around the bill is a sign that legislators are getting frightened about a politically embarrassing short-term collapse at the USPS. ⑦It is not, however, a sign that they’re getting serious about transforming the postal system for the 21st century.</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financial problem with the USPS is caused partly by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unbalanced budget.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rigid management.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cost for technical upgrading.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withdrawal of bank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According to Paragraph 2, the USPS fails to modernize itself due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interference from interest groups.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inadequate funding from Congress.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shrinking demand for postal service.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incompetence of postal unions.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The long-standing complaint by the USPS and its unions can be addressed by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removing its burden of retiree health care.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making more investment in new vehicles.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adopting a new rate-increase mechanism.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attracting more first-class mail users.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In the last paragraph, the author seems to view legislators with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respect.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tolerance.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discontent.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gratitude.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USPS Starts to Miss Its Good Old Days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Postal Service: Keep Away from My Cheese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USPS: Chronic Illness Requires a Quick Cure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Postal Service Needs More than a Band-Aid</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A A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6" w:name="_Toc17324"/>
      <w:r>
        <w:rPr>
          <w:rFonts w:hint="eastAsia"/>
          <w:b/>
          <w:lang w:val="en-US" w:eastAsia="zh-CN"/>
        </w:rPr>
        <w:t>TEXT17</w:t>
      </w:r>
      <w:bookmarkEnd w:id="1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①First two hours, now three hours—this is how far in advance authorities are recommending people show up to catch a domestic flight, at least at some major U.S. airports with increasingly massive security lines.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①Americans are willing to tolerate time-consuming security procedures in return for increased safety. ②The crash of EgyptAir Flight 804, which terrorists may have downed over the Mediterranean Sea, provides another tragic reminder of why. ③But demanding too much of air travelers or providing too little security in return undermines public support for the process. ④And it should: Wasted time is a drag on Americans' economic and private lives, not to mention infuriating.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①Last year, the Transportation Security Administration (TSA) found in a secret check that undercover investigators were able to sneak weapons—both fake and real—past airport security nearly every time they tried. ②Enhanced security measures since then, combined with a rise in airline travel due to the improving economy and low oil prices, have resulted in long waits at major airports such as Chicago’s O’Hare International. ③It is not yet clear how much more effective airline security has become—but the lines are obvious.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①Part of the issue is that the government did not anticipate the steep increase in airline travel, so the TSA is now rushing to get new screeners on the line. ②Part of the issue is that airports have only so much room for screening lanes. ③Another factor may be that more people are trying to overpack their carry-on bags to avoid checked-baggage fees, though the airlines strongly dispute this.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is one step the TSA could take that would not require remodeling airports or rushing to hire: Enroll more people in the PreCheck program. ②PreCheck is supposed to be a win-win for travelers and the TSA. ③Passengers who pass a background check are eligible to use expedited screening lanes. ④This allows the TSA to focus on travelers who are higher risk, saving time for everyone involved. ⑤The TSA wants to enroll 25 million people in PreCheck.</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①It has not gotten anywhere close to that, and one big reason is sticker shock: Passengers must pay $85 every five years to process their background checks. ②Since the beginning, this price tag has been PreCheck's fatal flaw. ③Upcoming reforms might bring the price to a more reasonable level. ④But Congress should look into doing so directly, by helping to finance PreCheck enrollment or to cut costs in other ways.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TSA cannot continue diverting resources into underused PreCheck lanes while most of the traveling public suffers in unnecessary lines. ②It is long past time to make the program work.</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The crash of EgyptAir Flight 804 is mentioned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stress the urgency to strengthen security worldwide.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explain Americans’ tolerance of current security checks.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highlight the necessity of upgrading major U.S. airports.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emphasize the importance of privacy protection.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Which of the following contributes to long waits at major airports?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New restrictions on carry-on bags.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declining efficiency of the TSA.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An increase in the number of travelers.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Frequent unexpected secret checks.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The word “expedited” (Para. 5) is closest in meaning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quieter.            [B] faster.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wider.             [D] cheaper.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One problem with the PreCheck program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 dramatic reduction of its scale.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wrongly-directed implementation.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government’s reluctance to back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an unreasonable price for enrollment.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Getting Stuck in Security Lines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PreCheck—a Belated Solution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Less Screening for More Safety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Underused PreCheck Lanes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C B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7" w:name="_Toc31896"/>
      <w:r>
        <w:rPr>
          <w:rFonts w:hint="eastAsia"/>
          <w:b/>
          <w:lang w:val="en-US" w:eastAsia="zh-CN"/>
        </w:rPr>
        <w:t>TEXT18</w:t>
      </w:r>
      <w:bookmarkEnd w:id="17"/>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①“The ancient Hawaiians were astronomers,” wrote Queen Liliuokalani, Hawaii's last reigning monarch, in 1897. ②Star watchers were among the most esteemed members of Hawaiian society. ③Sadly, all is not well with astronomy in Hawaii today. ④Protests have erupted over construction of the Thirty Meter Telescope (TMT), a giant observatory that promises to revolutionize humanity’s view of the cosmos.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①At issue is the TMT’s planned location on Mauna Kea, a dormant volcano worshiped by some Hawaiians as the piko, that connects the Hawaiian Islands to the heavens. ②But Mauna Kea is also home to some of the world’s most powerful telescopes. ③Rested in the Pacific Ocean, Mauna Kea’s peak rises above the bulk of our planet’s dense atmosphere, where conditions allow telescopes to obtain images of unsurpassed clarity.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①Opposition to telescopes on Mauna Kea is nothing new. ②A small but vocal group of Hawaiians and environmentalists have long viewed their presence as disrespect for sacred land and a painful reminder of the occupation of what was once a sovereign nation.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①Some blame for the current controversy belongs to astronomers. ②In their eagerness to build bigger telescopes, they forgot that science is not the only way of understanding the world. ③They did not always prioritize the protection of Mauna Kea’s fragile ecosystems or its holiness to the islands’ inhabitants. ④Hawaiian culture is not a relic of the past; it is a living culture undergoing a renaissance today.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①Yet science has a cultural history, too, with roots going back to the dawn of civilization. ②The same curiosity to find what lies beyond the horizon that first brought early Polynesians to Hawaii’s shores inspires astronomers today to explore the heavens. ③Calls to disassemble all telescopes on Mauna Kea or to ban future development there ignore the reality that astronomy and Hawaiian culture both seek to answer big questions about who we are, where we come from and where we are going. ④Perhaps that is why we explore the starry skies, as if answering a primal calling to know ourselves and our true ancestral homes.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①The astronomy community is making compromises to change its use of Mauna Kea. ②The TMT site was chosen to minimize the telescope’s visibility around the island and to avoid archaeological and environmental impact. ③To limit the number of telescopes on Mauna Kea, old ones will be removed at the end of their lifetimes and their sites returned to a natural state. ④There is no reason why everyone cannot be welcomed on Mauna Kea to embrace their cultural heritage and to study the stars.</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Queen Liliuokalani’s remark in Paragraph 1 indicates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importance of astronomy in ancient Hawaiian society.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her conservative view on the historical role of astronomy.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regrettable decline of astronomy in ancient times.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her appreciation of star watchers’ feats in her time.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Mauna Kea is deemed as an ideal astronomical site due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religious implications.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its protective surroundings.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its geographical features.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existing infrastructure.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The construction of the TMT is opposed by some locals partly because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may risk ruining their intellectual life.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they fear losing control of Mauna Kea.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their culture will lose a chance of revival.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reminds them of a humiliating history.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29. It can be inferred from Paragraph 5 that progress in today’s astronomy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is fulfilling the dreams of ancient Hawaiians.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helps spread Hawaiian culture across the world.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may uncover the origin of Hawaiian culture.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will eventually soften Hawaiians’ hostility.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The author’s attitude toward choosing Mauna Kea as the TMT site is one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severe criticism.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full approval.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passive acceptance.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slight hesitancy.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A D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lang w:val="en-US" w:eastAsia="zh-CN"/>
        </w:rPr>
      </w:pPr>
      <w:bookmarkStart w:id="18" w:name="_Toc31586"/>
      <w:r>
        <w:rPr>
          <w:rFonts w:hint="eastAsia"/>
          <w:lang w:val="en-US" w:eastAsia="zh-CN"/>
        </w:rPr>
        <w:t>TEXT19</w:t>
      </w:r>
      <w:bookmarkEnd w:id="1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①Robert F. Kennedy once said that a country’s GDP measures “everything except that which makes life worthwhile.” ②With Britain voting to leave the European Union, and GDP already predicted to slow as a result, it is now a timely moment to assess what he was referring to.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①The question of GDP and its usefulness has annoyed policymakers for over half a century. Many argue that it is a flawed concept. ②It measures things that do not matter and misses things that do. ③By most recent measures, the UK’s GDP has been the envy of the Western world, with record low unemployment and high growth figures. ④If everything was going so well, then why did over 17 million people vote for Brexit, despite the warnings about what it could do to their country’s economic prospects?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 recent annual study of countries and their ability to convert growth into well-being sheds some light on that question. ②Across the 163 countries measured, the UK is one of the poorest performers in ensuring that economic growth is translated into meaningful improvements for its citizens. ③Rather than just focusing on GDP, over 40 different sets of criteria from health, education and civil society engagement have been measured to get a more rounded assessment of how countries are performing.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①While all of these countries face their own challenges, there are a number of consistent themes. ②Yes, there has been a budding economic recovery since the 2008 global crash, but in key indicators in areas such as health and education, major economies have continued to decline. ③Yet this isn’t the case with all countries. ④Some relatively poor European countries have seen huge improvements across measures including civil society, income equality and the environment.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①This is a lesson that rich countries can learn: When GDP is no longer regarded as the sole measure of a country’s success, the world looks very different.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 what Kennedy was referring to was that while GDP has been the most common method for measuring the economic activity of nations, as a measure, it is no longer enough. ②It does not include important factors such as environmental quality or education outcomes—all things that contribute to a person’s sense of well-being.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sharp hit to growth predicted around the world and in the UK could lead to a decline in the everyday services we depend on for our well-being and for growth. ②But policymakers who refocus efforts on improving well-being rather than simply worrying about GDP figures could avoid the forecasted doom and may even see progress.</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Robert F. Kennedy is cited because he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praised the UK for its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identified GDP with happiness.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misinterpreted the role of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had a low opinion of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It can be inferred from Paragraph 2 that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GDP as the measure of success is widely defied in the UK.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[B] policymakers in the UK are paying less attention to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UK will contribute less to the world economy.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UK is reluctant to remold its economic pattern.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pStyle w:val="2"/>
        <w:bidi w:val="0"/>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Which of the following is true about the recent annual study?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 excludes GDP as an indicator.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sponsored by 163 countries.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criteria are questionable.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results are enlightening.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In the last two paragraphs, the author suggests that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UK is preparing for an economic boom.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essential to consider factors beyond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high GDP foreshadows an economic decline.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 requires caution to handle economic issues.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Which of the following is the best title for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Brexit, the UK’s Gateway to Well-being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Robert F. Kennedy, a Terminator of GDP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High GDP But Inadequate Well-being, a UK Lesson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GDP Figures, a Window on Global Economic Health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D B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19" w:name="_Toc2245"/>
      <w:r>
        <w:rPr>
          <w:rFonts w:hint="eastAsia"/>
          <w:b/>
          <w:lang w:val="en-US" w:eastAsia="zh-CN"/>
        </w:rPr>
        <w:t>TEXT20</w:t>
      </w:r>
      <w:bookmarkEnd w:id="19"/>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a rare unanimous ruling, the US Supreme Court has overturned the corruption conviction of a former Virginia governor, Robert McDonnell. ②But it did so while holding its nose at the ethics of his conduct, which included accepting gifts such as a Rolex watch and a Ferrari automobile from a company seeking access to government.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①The high court’s decision said the judge in Mr. McDonnell’s trial failed to tell a jury that it must look only at his “official acts,” or the former governor’s decisions on “specific” and “unsettled” issues related to his duties.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①Merely helping a gift-giver gain access to other officials, unless done with clear intent to pressure those officials, is not corruption, the justices found.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court did suggest that accepting favors in return for opening doors is “distasteful” and “nasty.” ②But under anti-bribery laws, proof must be made of concrete benefits, such as approval of a contract or regulation. ③Simply arranging a meeting, making a phone call, or hosting an event is not an “official act.”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court’s ruling is legally sound in defining a kind of favoritism that is not criminal. ②Elected leaders must be allowed to help supporters deal with bureaucratic problems without fear of prosecution of bribery. “The basic compact underlying representative government,” wrote Chief Justice John Roberts for the court, “assumes that public officials will hear from their constituents and act on their concerns.”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①But the ruling reinforces the need for citizens and their elected representatives, not the courts, to ensure equality of access to government. ②Officials must not be allowed to play favorites in providing information or in arranging meetings simply because an individual or group provides a campaign donation or a personal gift. ③This type of integrity requires well-enforced laws in government transparency, such as records of official meetings, rules on lobbying, and information about each elected leader’s source of wealth.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①Favoritism in official access can fan public perceptions of corruption. ②But it is not always corruption. ③Rather officials must avoid double standards, or different types of access for average people and the wealthy. ④If connections can be bought, a basic premise of democratic society—that all are equal in treatment by government—is undermined. ⑤Good governance rests on an understanding of the inherent worth of each individual.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court’s ruling is a step forward in the struggle against both corruption and official favoritism.</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underlined sentence (Para. 1) most probably shows that the court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made no compromise in convicting McDonnell.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avoided defining the extent of McDonnell’s duties.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was contemptuous of McDonnell’s conduct.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refused to comment on McDonnell’s ethics.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According to Paragraph 4, an official act is deemed corruptive only if it involves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concrete returns for gift-givers.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sizable gains in the form of gifts.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leaking secrets intentionally.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breaking contracts officially.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pStyle w:val="2"/>
        <w:bidi w:val="0"/>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The court’s ruling is based on the assumption that public officials are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allowed to focus on the concerns of their supporters.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qualified to deal independently with bureaucratic issues.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justified in addressing the needs of their constituents.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exempt from conviction on the charge of favoritism.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Well-enforced laws in government transparency are needed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awaken the conscience of officials.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allow for certain kinds of lobbying.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guarantee fair play in official access.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inspire hopes in average people.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The author’s attitude toward the court’s ruling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sarcastic.            [B] tolerant.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skeptical.            [D] supportive.</w:t>
      </w: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A C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20" w:name="_Toc28675"/>
      <w:r>
        <w:rPr>
          <w:rFonts w:hint="eastAsia"/>
          <w:b/>
          <w:lang w:val="en-US" w:eastAsia="zh-CN"/>
        </w:rPr>
        <w:t>TEXT21</w:t>
      </w:r>
      <w:bookmarkEnd w:id="2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①France, which prides itself as the global innovator of fashion, has decided its fashion industry has lost an absolute right to define physical beauty for women. ②Its lawmakers gave preliminary approval last week to a law that would make it a crime to employ ultra-thin models on runways. ③The parliament also agreed to ban websites that “incite excessive thinness” by promoting extreme dieting.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①Such measures have a couple of uplifting motives. ②They suggest beauty should not be defined by looks that end up impinging on health. ③That’s a start. ④And the ban on ultra-thin models seems to go beyond protecting models from starving themselves to death—as some have done. ⑤It tells the fashion industry that it must take responsibility for the signal it sends women, especially teenage girls, about the social tape-measure they must use to determine their individual worth.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bans, if fully enforced, would suggest to women (and many men) that they should not let others be arbiters of their beauty. ②And perhaps faintly, they hint that people should look to intangible qualities like character and intellect rather than dieting their way to size zero or wasp-waist physiques.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French measures, however, rely too much on severe punishment to change a culture that still regards beauty as skin-deep—and bone-showing. ②Under the law, using a fashion model that does not meet a government-defined index of body mass could result in a $85,000 fine and six months in prison.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fashion industry knows it has an inherent problem in focusing on material adornment and idealized body types. ②In Denmark, the United States, and a few other countries, it is trying to set voluntary standards for models and fashion images that rely more on peer pressure for enforcement.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contrast to France’s actions, Denmark’s fashion industry agreed last month on rules and sanctions regarding the age, health, and other characteristics of models. ②The newly revised Danish Fashion Ethical Charter clearly states: “We are aware of and take responsibility for the impact the fashion industry has on body ideals, especially on young people.” ③The charter’s main tool of enforcement is to deny access for designers and modeling agencies to Copenhagen Fashion Week (CFW), which is run by the Danish Fashion Institute. ④But in general it relies on a name-and-shame method of compliance.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①Relying on ethical persuasion rather than law to address the misuse of body ideals may be the best step. ②Even better would be to help elevate notions of beauty beyond the material standards of a particular industry.</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According to the first paragraph, what would happen in France?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Physical beauty would be redefined.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New runways would be constructed.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Websites about dieting would thrive.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fashion industry would decline.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The phrase “impinging on” (Para. 2) is closest in meaning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indicating the state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heightening the value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losing faith 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doing harm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Which of the following is true of the fashion industry?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French measures have already failed.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New standards are being set in Denmark.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Models are no longer under peer pressure.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Its inherent problems are getting worse.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A designer is most likely to be rejected by CFW for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pursuing perfect physical conditions.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caring too much about models’ character.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showing little concern for health factors.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setting a high age threshold for models.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Which of the following may be the best title of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A Challenge to the Fashion Industry’s Body Ideals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 Dilemma for the Starving Models in France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Just Another Round of Struggle for Beauty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Great Threats to the Fashion Industry</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B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21" w:name="_Toc17929"/>
      <w:r>
        <w:rPr>
          <w:rFonts w:hint="eastAsia"/>
          <w:b/>
          <w:lang w:val="en-US" w:eastAsia="zh-CN"/>
        </w:rPr>
        <w:t>TEXT22</w:t>
      </w:r>
      <w:bookmarkEnd w:id="2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①For the first time in history more people live in towns than in the country. ②In Britain this has had a curious result. ③While polls show Britons rate “the countryside” alongside the royal family, Shakespeare and the National Health Service (NHS) as what makes them proudest of their country, this has limited political support.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①A century ago Octavia Hill launched the National Trust not to rescue stylish houses but to save “the beauty of natural places for everyone forever.” ②It was specifically to provide city dwellers with spaces for leisure where they could experience “a refreshing air.” ③Hill’s pressure later led to the creation of national parks and green belts. ④They don’t make countryside any more, and every year concrete consumes more of it. ⑤It needs constant guardianship.</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①At the next election none of the big parties seem likely to endorse this sentiment. ②The Conservatives’ planning reform explicitly gives rural development priority over conservation, even authorising “off-plan” building where local people might object. ③The concept of sustainable development has been defined as profitable. ④Labour likewise wants to discontinue local planning where councils oppose development. ⑤The Liberal Democrats are silent. ⑥Only Ukip, sensing its chance, has sided with those pleading for a more considered approach to using green land. ⑦Its Campaign to Protect Rural England struck terror into many local Conservative parties.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①The sensible place to build new houses, factories and offices is where people are, in cities and towns where infrastructure is in place. ②The London agents Stirling Ackroyd recently identified enough sites for half a million houses in the Landon area alone, with no intrusion on green belt. ③What is true of London is even truer of the provinces.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①The idea that “housing crisis” equals “concreted meadows” is pure lobby talk. ②The issue is not the need for more houses but, as always, where to put them. ③Under lobby pressure, George Osborne favours rural new-build against urban renovation and renewal. ④He favours out-of-town shopping sites against high streets. ⑤This is not a free market but a biased one. ⑥Rural towns and villages have grown and will always grow. ⑦They do so best where building sticks to their edges and respects their character. ⑧We do not ruin urban conservation areas. ⑨Why ruin rural ones?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①Development should be planned, not let rip. ②After the Netherlands, Britain is Europe’s most crowded country. ③Half a century of town and country planning has enabled it to retain an enviable rural coherence, while still permitting low-density urban living. ④There is no doubt of the alternative—the corrupted landscapes of southern Portugal, Spain or Ireland. ⑤Avoiding this rather than promoting it should unite the left and right of the political spectrum.</w:t>
      </w:r>
    </w:p>
    <w:p>
      <w:pPr>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rPr>
          <w:rFonts w:hint="eastAsia"/>
          <w:lang w:val="en-US" w:eastAsia="zh-CN"/>
        </w:rPr>
      </w:pPr>
      <w:r>
        <w:rPr>
          <w:rFonts w:hint="eastAsia"/>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Britain’s public sentiment about the countryside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has brought much benefit to the NHS.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didn’t start till the Shakespearean age.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is fully backed by the royal family.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is not well reflected in politics.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According to Paragraph 2, the achievements of the National Trust are now being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gradually destroyed.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effectively reinforced.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properly protected.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largely overshadowed.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Which of the following can be inferred from Paragraph 3?</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Labour is under attack for opposing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Conservatives may abandon “off-plan” building.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Ukip may gain from its support for rural conservation.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Liberal Democrats are losing political influence.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author holds that George Osborne’s preference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reveals a strong prejudice against urban areas.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shows his disregard for the character of rural areas.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stresses the necessity of easing the housing crisis.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highlights his firm stand against lobby pressure.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In the last paragraph, the author shows his appreciation of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size of population in Britain.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enviable urban lifestyle in Britain.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town-and-country planning in Britain.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political life in today’s Britain.</w:t>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C B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22" w:name="_Toc13033"/>
      <w:r>
        <w:rPr>
          <w:rFonts w:hint="eastAsia"/>
          <w:b/>
          <w:lang w:val="en-US" w:eastAsia="zh-CN"/>
        </w:rPr>
        <w:t>TEXT23</w:t>
      </w:r>
      <w:bookmarkEnd w:id="2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is one and only one social responsibility of business,” wrote Milton Friedman, a Nobel prize-winning economist, “That is, to use its resources and engage in activities designed to increase its profits.” ②But even if you accept Friedman’s premise and regard corporate social responsibility (CSR) policies as a waste of shareholders’ money, things may not be absolutely clear-cut. ③New research suggests that CSR may create monetary value for companies—at least when they are prosecuted for corruption.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largest firms in America and Britain together spend more than $15 billion a year on CSR, according to an estimate by EPG, a consulting firm. ②This could add value to their businesses in three ways. ③First, consumers may take CSR spending as a “signal” that a company’s products are of high quality. ④Second, customers may be willing to buy a company’s products as an indirect way to donate to the good causes it helps. ⑤And third, through a more diffuse “halo effect,” whereby its good deeds earn it greater consideration from consumers and others.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①Previous studies on CSR have had trouble differentiating these effects because consumers can be affected by all three. ②A recent study attempts to separate them by looking at bribery prosecutions under America’s Foreign Corrupt Practices Act (FCPA). ③It argues that since prosecutors do not consume a company’s products as part of their investigations, they could be influenced only by the halo effect.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study found that, among prosecuted firms, those with the most comprehensive CSR programmes tended to get more lenient penalties. ②Their analysis ruled out the possibility that it was firms’ political influence, rather than their CSR stand, that accounted for the leniency: Companies that contributed more to political campaigns did not receive lower fines.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all, the study concludes that whereas prosecutors should only evaluate a case based on its merits, they do seem to be influenced by a company’s record in CSR. ②“We estimate that either eliminating a substantial labour-rights concern, such as child labour, or increasing corporate giving by about 20% results in fines that generally are 40% lower than the typical punishment for bribing foreign officials,” says one researcher.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①Researchers admit that their study does not answer the question of how much businesses ought to spend on CSR. ②Nor does it reveal how much companies are banking on the halo effect, rather than the other possible benefits, when they decide their do-gooding policies. ③But at least they have demonstrated that when companies get into trouble with the law, evidence of good character can win them a less costly punishment.</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31. The author views Milton Friedman’s statement about CSR with</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uncertainty.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skepticism.</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approval.</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tolerance.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32. According to Paragraph 2, CSR helps a company by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guarding it against malpractices.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protecting it from being defamed.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winning trust from consumers.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raising the quality of its products.</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33. The expression “more lenient” (Para. 4) is closest in meaning to</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less controversial.</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more lasting.</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more effective.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less severe.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34. When prosecutors evaluate a case, a company’s CSR record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A. comes across as reliable evidence.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B. has an impact on their decision.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increases the chance of being penalized.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constitutes part of the investigation.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35. Which of the following is true of CSR, according to the last paragraph?</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A. The necessary amount of companies’ spending on it is unknown.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 xml:space="preserve">B. Companies’ financial capacity for it has been overestimated.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C. Its negative effects on businesses are often overlooked.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D. It has brought much benefit to the banking industry.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C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space="425" w:num="1"/>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pStyle w:val="2"/>
        <w:bidi w:val="0"/>
        <w:rPr>
          <w:rFonts w:hint="eastAsia"/>
          <w:b/>
          <w:lang w:val="en-US" w:eastAsia="zh-CN"/>
        </w:rPr>
      </w:pPr>
      <w:bookmarkStart w:id="23" w:name="_Toc10462"/>
      <w:r>
        <w:rPr>
          <w:rFonts w:hint="eastAsia"/>
          <w:b/>
          <w:lang w:val="en-US" w:eastAsia="zh-CN"/>
        </w:rPr>
        <w:t>TEXT24</w:t>
      </w:r>
      <w:bookmarkEnd w:id="2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will eventually come a day when The New York Times ceases to publish stories on newsprint. ②Exactly when that day will be is a matter of debate. ③“Sometime in the future,” the paper’s publisher said back in 2010.</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①Nostalgia for ink on paper and the rustle of pages aside, there’s plenty of incentive to ditch print. ②The infrastructure required to make a physical newspaper—printing presses, delivery trucks —isn’t just expensive; it’s excessive at a time when online-only competitors don’t have the same set of financial constraints. ③Readers are migrating away from print anyway. ④And though print ad sales still dwarf their online and mobile counterparts, revenue from print is still declining.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①Overhead may be high and circulation lower, but rushing to eliminate its print edition would be a mistake, says BuzzFeed CEO Jonah Peretti.</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①Peretti says the Times shouldn’t waste time getting out of the print business, but only if they go about doing it the right way. ②“Figuring out a way to accelerate that transition would make sense for them,” he said, “but if you discontinue it, you’re going to have your most loyal customers really upset with you.”</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①Sometimes that’s worth making a change anyway. ②Peretti gives the example of Netflix discontinuing its DVD-mailing service to focus on streaming. ③“It was seen as a blunder,” he said. ④The move turned out to be foresighted. ⑤And if Peretti were in charge at the Times? ⑥“I wouldn’t pick a year to end print,” he said. “I would raise prices and make it into more of a legacy product.”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most loyal customers would still get the product they favor, the idea goes, and they’d feel like they were helping sustain the quality of something they believe in. ②“So if you’re overpaying for print, you could feel like you were helping,” Peretti said.③ “Then increase it at a higher rate each year and essentially try to generate additional revenue.” ④In other words, if you’re going to make a print product, make it for the people who are already obsessed with it. ⑤Which may be what the Times is doing already. ⑥Getting the print edition seven days a week costs nearly $500 a year—more than twice as much as a digital-only subscription.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①“It’s a really hard thing to do and it’s a tremendous luxury that BuzzFeed doesn’t have a legacy business,” Peretti remarked. ②“But we’re going to have questions like that where we have things we’re doing that don’t make sense when the market changes and the world changes. ③In those situations, it’s better to be more aggressive than less aggressive.”</w:t>
      </w:r>
    </w:p>
    <w:p>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New York Times is considering ending its print edition partly due to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the increasing online ad sales.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pressure from its investors.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complaints from its readers.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high cost of operation.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Peretti suggests that, in face of the present situation, the Times should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make strategic adjustments.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end the print edition for good.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seek new sources of readership.</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aim for efficient management.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It can be inferred from Paragraphs 5 and 6 that a “legacy product”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helps restore the glory of former times.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is meant for the most loyal customers.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will have the cost of printing reduced.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expands the popularity of the paper.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Peretti believes that, in a changing world,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traditional luxuries can stay unaffected.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cautiousness facilitates problem-solving.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aggressiveness better meets challenges.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legacy businesses are becoming outdated.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would be the best title of the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Shift to Online Newspapers All at Once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Cherish the Newspaper Still in Your Hand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Keep Your Newspapers Forever in Fashion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r>
        <w:rPr>
          <w:rFonts w:hint="default"/>
          <w:lang w:val="en-US" w:eastAsia="zh-CN"/>
        </w:rPr>
        <w:t>D. Make Your Print Newspaper a Luxury Good</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B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bookmarkStart w:id="24" w:name="_GoBack"/>
      <w:r>
        <w:rPr>
          <w:rFonts w:hint="default"/>
          <w:lang w:val="en-US" w:eastAsia="zh-CN"/>
        </w:rPr>
        <w:drawing>
          <wp:anchor distT="0" distB="0" distL="114300" distR="114300" simplePos="0" relativeHeight="251660288" behindDoc="1" locked="0" layoutInCell="1" allowOverlap="1">
            <wp:simplePos x="0" y="0"/>
            <wp:positionH relativeFrom="column">
              <wp:posOffset>-480695</wp:posOffset>
            </wp:positionH>
            <wp:positionV relativeFrom="paragraph">
              <wp:posOffset>-853440</wp:posOffset>
            </wp:positionV>
            <wp:extent cx="7670800" cy="10700385"/>
            <wp:effectExtent l="0" t="0" r="0" b="5715"/>
            <wp:wrapThrough wrapText="bothSides">
              <wp:wrapPolygon>
                <wp:start x="0" y="0"/>
                <wp:lineTo x="0" y="21586"/>
                <wp:lineTo x="21564" y="21586"/>
                <wp:lineTo x="21564" y="0"/>
                <wp:lineTo x="0" y="0"/>
              </wp:wrapPolygon>
            </wp:wrapThrough>
            <wp:docPr id="3" name="图片 3" descr="阅读封面基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阅读封面基础2"/>
                    <pic:cNvPicPr>
                      <a:picLocks noChangeAspect="1"/>
                    </pic:cNvPicPr>
                  </pic:nvPicPr>
                  <pic:blipFill>
                    <a:blip r:embed="rId7"/>
                    <a:stretch>
                      <a:fillRect/>
                    </a:stretch>
                  </pic:blipFill>
                  <pic:spPr>
                    <a:xfrm>
                      <a:off x="0" y="0"/>
                      <a:ext cx="7670800" cy="10700385"/>
                    </a:xfrm>
                    <a:prstGeom prst="rect">
                      <a:avLst/>
                    </a:prstGeom>
                  </pic:spPr>
                </pic:pic>
              </a:graphicData>
            </a:graphic>
          </wp:anchor>
        </w:drawing>
      </w:r>
      <w:bookmarkEnd w:id="24"/>
    </w:p>
    <w:sectPr>
      <w:type w:val="continuous"/>
      <w:pgSz w:w="11906" w:h="16838"/>
      <w:pgMar w:top="720" w:right="720" w:bottom="720" w:left="720" w:header="851" w:footer="992" w:gutter="0"/>
      <w:cols w:equalWidth="0" w:num="2">
        <w:col w:w="5020" w:space="425"/>
        <w:col w:w="502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lang w:val="en-US" w:eastAsia="zh-CN"/>
      </w:rPr>
    </w:pPr>
    <w:r>
      <w:rPr>
        <w:rFonts w:hint="eastAsia"/>
        <w:lang w:val="en-US" w:eastAsia="zh-CN"/>
      </w:rPr>
      <w:t>2022版考研阅读讲义</w:t>
    </w:r>
  </w:p>
  <w:p>
    <w:pPr>
      <w:pStyle w:val="5"/>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11E1F8"/>
    <w:multiLevelType w:val="singleLevel"/>
    <w:tmpl w:val="4B11E1F8"/>
    <w:lvl w:ilvl="0" w:tentative="0">
      <w:start w:val="4"/>
      <w:numFmt w:val="upperLetter"/>
      <w:lvlText w:val="[%1]"/>
      <w:lvlJc w:val="left"/>
      <w:pPr>
        <w:tabs>
          <w:tab w:val="left" w:pos="312"/>
        </w:tabs>
      </w:pPr>
    </w:lvl>
  </w:abstractNum>
  <w:abstractNum w:abstractNumId="1">
    <w:nsid w:val="5284261C"/>
    <w:multiLevelType w:val="singleLevel"/>
    <w:tmpl w:val="5284261C"/>
    <w:lvl w:ilvl="0" w:tentative="0">
      <w:start w:val="3"/>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135C77"/>
    <w:rsid w:val="062072DB"/>
    <w:rsid w:val="074071F3"/>
    <w:rsid w:val="133C0393"/>
    <w:rsid w:val="13B1004F"/>
    <w:rsid w:val="15CF296D"/>
    <w:rsid w:val="1F5C618E"/>
    <w:rsid w:val="1FBC59E7"/>
    <w:rsid w:val="22656665"/>
    <w:rsid w:val="289402D6"/>
    <w:rsid w:val="2EF200F3"/>
    <w:rsid w:val="31737478"/>
    <w:rsid w:val="33274059"/>
    <w:rsid w:val="35A310B7"/>
    <w:rsid w:val="3A0F1D4F"/>
    <w:rsid w:val="3DBD34EC"/>
    <w:rsid w:val="3E4016CA"/>
    <w:rsid w:val="419867B3"/>
    <w:rsid w:val="424F122B"/>
    <w:rsid w:val="45555958"/>
    <w:rsid w:val="4A3E11AD"/>
    <w:rsid w:val="504957C5"/>
    <w:rsid w:val="507E63C7"/>
    <w:rsid w:val="51DC3E5B"/>
    <w:rsid w:val="53EC7125"/>
    <w:rsid w:val="5F075AD4"/>
    <w:rsid w:val="6013249C"/>
    <w:rsid w:val="622F1F2B"/>
    <w:rsid w:val="646C5108"/>
    <w:rsid w:val="6B332101"/>
    <w:rsid w:val="6BF677B0"/>
    <w:rsid w:val="6D8F7B53"/>
    <w:rsid w:val="727662A7"/>
    <w:rsid w:val="74135C77"/>
    <w:rsid w:val="74C47FA1"/>
    <w:rsid w:val="77B153C1"/>
    <w:rsid w:val="788E7DD5"/>
    <w:rsid w:val="7AC10C75"/>
    <w:rsid w:val="7BE667ED"/>
    <w:rsid w:val="7CEB704C"/>
    <w:rsid w:val="7EC12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sz w:val="21"/>
      <w:szCs w:val="21"/>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1"/>
    <w:pPr>
      <w:ind w:left="531" w:hanging="344"/>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73</Pages>
  <Words>16437</Words>
  <Characters>77134</Characters>
  <Lines>0</Lines>
  <Paragraphs>0</Paragraphs>
  <TotalTime>1</TotalTime>
  <ScaleCrop>false</ScaleCrop>
  <LinksUpToDate>false</LinksUpToDate>
  <CharactersWithSpaces>91959</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2021-06-25T01:10:00Z</dcterms:created>
  <dc:creator>Ray</dc:creator>
  <cp:lastModifiedBy>WPS_1555637468</cp:lastModifiedBy>
  <dcterms:modified xsi:type="dcterms:W3CDTF">2021-07-04T09:25:21Z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DE6E8E38A78240898B1C0EE2EB8A7442</vt:lpwstr>
  </property>
</Properties>
</file>