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56"/>
          <w:szCs w:val="36"/>
          <w:lang w:val="en-US" w:eastAsia="zh-CN"/>
        </w:rPr>
      </w:pPr>
      <w:r>
        <w:rPr>
          <w:rFonts w:hint="eastAsia"/>
          <w:sz w:val="56"/>
          <w:szCs w:val="36"/>
          <w:lang w:val="en-US" w:eastAsia="zh-CN"/>
        </w:rPr>
        <w:t>2023版</w:t>
      </w:r>
    </w:p>
    <w:p>
      <w:pPr>
        <w:pStyle w:val="2"/>
        <w:bidi w:val="0"/>
        <w:jc w:val="center"/>
        <w:rPr>
          <w:rFonts w:hint="eastAsia"/>
          <w:sz w:val="56"/>
          <w:szCs w:val="36"/>
          <w:lang w:val="en-US" w:eastAsia="zh-CN"/>
        </w:rPr>
      </w:pPr>
      <w:r>
        <w:rPr>
          <w:rFonts w:hint="eastAsia"/>
          <w:sz w:val="56"/>
          <w:szCs w:val="36"/>
          <w:lang w:val="en-US" w:eastAsia="zh-CN"/>
        </w:rPr>
        <w:t>我是瑞斯拜</w:t>
      </w:r>
    </w:p>
    <w:p>
      <w:pPr>
        <w:pStyle w:val="2"/>
        <w:bidi w:val="0"/>
        <w:jc w:val="center"/>
        <w:rPr>
          <w:rFonts w:hint="eastAsia"/>
          <w:sz w:val="56"/>
          <w:szCs w:val="36"/>
          <w:lang w:val="en-US" w:eastAsia="zh-CN"/>
        </w:rPr>
      </w:pPr>
      <w:r>
        <w:rPr>
          <w:rFonts w:hint="eastAsia"/>
          <w:sz w:val="56"/>
          <w:szCs w:val="36"/>
          <w:lang w:val="en-US" w:eastAsia="zh-CN"/>
        </w:rPr>
        <w:t>考研英语阅读讲义</w:t>
      </w:r>
    </w:p>
    <w:p>
      <w:pPr>
        <w:ind w:firstLine="720" w:firstLineChars="200"/>
        <w:jc w:val="center"/>
        <w:rPr>
          <w:rFonts w:hint="eastAsia"/>
          <w:sz w:val="36"/>
          <w:szCs w:val="44"/>
          <w:lang w:val="en-US" w:eastAsia="zh-CN"/>
        </w:rPr>
      </w:pPr>
      <w:r>
        <w:rPr>
          <w:rFonts w:hint="eastAsia"/>
          <w:sz w:val="36"/>
          <w:szCs w:val="44"/>
          <w:lang w:val="en-US" w:eastAsia="zh-CN"/>
        </w:rPr>
        <w:t>给学生的话</w:t>
      </w:r>
    </w:p>
    <w:p>
      <w:pPr>
        <w:ind w:firstLine="480" w:firstLineChars="200"/>
        <w:rPr>
          <w:rFonts w:hint="eastAsia"/>
          <w:sz w:val="24"/>
          <w:szCs w:val="32"/>
          <w:lang w:val="en-US" w:eastAsia="zh-CN"/>
        </w:rPr>
      </w:pPr>
      <w:r>
        <w:rPr>
          <w:rFonts w:hint="eastAsia"/>
          <w:sz w:val="24"/>
          <w:szCs w:val="32"/>
          <w:lang w:val="en-US" w:eastAsia="zh-CN"/>
        </w:rPr>
        <w:t>亲爱的同学你好，</w:t>
      </w:r>
    </w:p>
    <w:p>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pPr>
        <w:ind w:firstLine="480" w:firstLineChars="200"/>
        <w:jc w:val="right"/>
        <w:rPr>
          <w:rFonts w:hint="default" w:ascii="宋体" w:hAnsi="宋体" w:eastAsia="宋体" w:cstheme="minorBidi"/>
          <w:kern w:val="2"/>
          <w:sz w:val="21"/>
          <w:szCs w:val="24"/>
          <w:lang w:val="en-US" w:eastAsia="zh-CN" w:bidi="ar-SA"/>
        </w:rPr>
      </w:pPr>
      <w:r>
        <w:rPr>
          <w:sz w:val="24"/>
          <w:szCs w:val="32"/>
        </w:rPr>
        <w:drawing>
          <wp:anchor distT="0" distB="0" distL="114300" distR="114300" simplePos="0" relativeHeight="251659264" behindDoc="0" locked="0" layoutInCell="1" allowOverlap="1">
            <wp:simplePos x="0" y="0"/>
            <wp:positionH relativeFrom="column">
              <wp:posOffset>1980565</wp:posOffset>
            </wp:positionH>
            <wp:positionV relativeFrom="paragraph">
              <wp:posOffset>1499235</wp:posOffset>
            </wp:positionV>
            <wp:extent cx="2838450" cy="2052955"/>
            <wp:effectExtent l="0" t="0" r="0" b="444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t>阿瑞</w:t>
      </w:r>
      <w:r>
        <w:rPr>
          <w:rFonts w:ascii="宋体" w:hAnsi="宋体" w:eastAsia="宋体" w:cstheme="minorBidi"/>
          <w:kern w:val="2"/>
          <w:sz w:val="24"/>
          <w:szCs w:val="32"/>
          <w:lang w:val="en-US" w:eastAsia="zh-CN" w:bidi="ar-SA"/>
        </w:rPr>
        <w:br w:type="page"/>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156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6"/>
            <w:tabs>
              <w:tab w:val="right" w:leader="dot" w:pos="10466"/>
            </w:tabs>
          </w:pPr>
          <w:r>
            <w:fldChar w:fldCharType="begin"/>
          </w:r>
          <w:r>
            <w:instrText xml:space="preserve">TOC \o "1-3" \h \u </w:instrText>
          </w:r>
          <w:r>
            <w:fldChar w:fldCharType="separate"/>
          </w:r>
          <w:r>
            <w:fldChar w:fldCharType="begin"/>
          </w:r>
          <w:r>
            <w:instrText xml:space="preserve"> HYPERLINK \l _Toc28447 </w:instrText>
          </w:r>
          <w:r>
            <w:fldChar w:fldCharType="separate"/>
          </w:r>
          <w:r>
            <w:rPr>
              <w:rFonts w:hint="eastAsia"/>
              <w:lang w:val="en-US" w:eastAsia="zh-CN"/>
            </w:rPr>
            <w:t>TEXT1</w:t>
          </w:r>
          <w:r>
            <w:tab/>
          </w:r>
          <w:r>
            <w:fldChar w:fldCharType="begin"/>
          </w:r>
          <w:r>
            <w:instrText xml:space="preserve"> PAGEREF _Toc28447 \h </w:instrText>
          </w:r>
          <w:r>
            <w:fldChar w:fldCharType="separate"/>
          </w:r>
          <w:r>
            <w:t>3</w:t>
          </w:r>
          <w:r>
            <w:fldChar w:fldCharType="end"/>
          </w:r>
          <w:r>
            <w:fldChar w:fldCharType="end"/>
          </w:r>
        </w:p>
        <w:p>
          <w:pPr>
            <w:pStyle w:val="6"/>
            <w:tabs>
              <w:tab w:val="right" w:leader="dot" w:pos="10466"/>
            </w:tabs>
          </w:pPr>
          <w:r>
            <w:fldChar w:fldCharType="begin"/>
          </w:r>
          <w:r>
            <w:instrText xml:space="preserve"> HYPERLINK \l _Toc3353 </w:instrText>
          </w:r>
          <w:r>
            <w:fldChar w:fldCharType="separate"/>
          </w:r>
          <w:r>
            <w:rPr>
              <w:rFonts w:hint="eastAsia"/>
              <w:lang w:val="en-US" w:eastAsia="zh-CN"/>
            </w:rPr>
            <w:t>TEXT 2</w:t>
          </w:r>
          <w:r>
            <w:tab/>
          </w:r>
          <w:r>
            <w:fldChar w:fldCharType="begin"/>
          </w:r>
          <w:r>
            <w:instrText xml:space="preserve"> PAGEREF _Toc3353 \h </w:instrText>
          </w:r>
          <w:r>
            <w:fldChar w:fldCharType="separate"/>
          </w:r>
          <w:r>
            <w:t>6</w:t>
          </w:r>
          <w:r>
            <w:fldChar w:fldCharType="end"/>
          </w:r>
          <w:r>
            <w:fldChar w:fldCharType="end"/>
          </w:r>
        </w:p>
        <w:p>
          <w:pPr>
            <w:pStyle w:val="6"/>
            <w:tabs>
              <w:tab w:val="right" w:leader="dot" w:pos="10466"/>
            </w:tabs>
          </w:pPr>
          <w:r>
            <w:fldChar w:fldCharType="begin"/>
          </w:r>
          <w:r>
            <w:instrText xml:space="preserve"> HYPERLINK \l _Toc25753 </w:instrText>
          </w:r>
          <w:r>
            <w:fldChar w:fldCharType="separate"/>
          </w:r>
          <w:r>
            <w:rPr>
              <w:rFonts w:hint="eastAsia"/>
              <w:lang w:val="en-US" w:eastAsia="zh-CN"/>
            </w:rPr>
            <w:t>TEXT3</w:t>
          </w:r>
          <w:r>
            <w:tab/>
          </w:r>
          <w:r>
            <w:fldChar w:fldCharType="begin"/>
          </w:r>
          <w:r>
            <w:instrText xml:space="preserve"> PAGEREF _Toc25753 \h </w:instrText>
          </w:r>
          <w:r>
            <w:fldChar w:fldCharType="separate"/>
          </w:r>
          <w:r>
            <w:t>9</w:t>
          </w:r>
          <w:r>
            <w:fldChar w:fldCharType="end"/>
          </w:r>
          <w:r>
            <w:fldChar w:fldCharType="end"/>
          </w:r>
        </w:p>
        <w:p>
          <w:pPr>
            <w:pStyle w:val="6"/>
            <w:tabs>
              <w:tab w:val="right" w:leader="dot" w:pos="10466"/>
            </w:tabs>
          </w:pPr>
          <w:r>
            <w:fldChar w:fldCharType="begin"/>
          </w:r>
          <w:r>
            <w:instrText xml:space="preserve"> HYPERLINK \l _Toc17155 </w:instrText>
          </w:r>
          <w:r>
            <w:fldChar w:fldCharType="separate"/>
          </w:r>
          <w:r>
            <w:rPr>
              <w:rFonts w:hint="default"/>
              <w:lang w:val="en-US" w:eastAsia="zh-CN"/>
            </w:rPr>
            <w:t>Text 4</w:t>
          </w:r>
          <w:r>
            <w:tab/>
          </w:r>
          <w:r>
            <w:fldChar w:fldCharType="begin"/>
          </w:r>
          <w:r>
            <w:instrText xml:space="preserve"> PAGEREF _Toc17155 \h </w:instrText>
          </w:r>
          <w:r>
            <w:fldChar w:fldCharType="separate"/>
          </w:r>
          <w:r>
            <w:t>12</w:t>
          </w:r>
          <w:r>
            <w:fldChar w:fldCharType="end"/>
          </w:r>
          <w:r>
            <w:fldChar w:fldCharType="end"/>
          </w:r>
        </w:p>
        <w:p>
          <w:pPr>
            <w:pStyle w:val="6"/>
            <w:tabs>
              <w:tab w:val="right" w:leader="dot" w:pos="10466"/>
            </w:tabs>
          </w:pPr>
          <w:r>
            <w:fldChar w:fldCharType="begin"/>
          </w:r>
          <w:r>
            <w:instrText xml:space="preserve"> HYPERLINK \l _Toc19830 </w:instrText>
          </w:r>
          <w:r>
            <w:fldChar w:fldCharType="separate"/>
          </w:r>
          <w:r>
            <w:rPr>
              <w:rFonts w:hint="eastAsia"/>
              <w:lang w:val="en-US" w:eastAsia="zh-CN"/>
            </w:rPr>
            <w:t>TEXT5</w:t>
          </w:r>
          <w:r>
            <w:tab/>
          </w:r>
          <w:r>
            <w:fldChar w:fldCharType="begin"/>
          </w:r>
          <w:r>
            <w:instrText xml:space="preserve"> PAGEREF _Toc19830 \h </w:instrText>
          </w:r>
          <w:r>
            <w:fldChar w:fldCharType="separate"/>
          </w:r>
          <w:r>
            <w:t>15</w:t>
          </w:r>
          <w:r>
            <w:fldChar w:fldCharType="end"/>
          </w:r>
          <w:r>
            <w:fldChar w:fldCharType="end"/>
          </w:r>
        </w:p>
        <w:p>
          <w:pPr>
            <w:pStyle w:val="6"/>
            <w:tabs>
              <w:tab w:val="right" w:leader="dot" w:pos="10466"/>
            </w:tabs>
          </w:pPr>
          <w:r>
            <w:fldChar w:fldCharType="begin"/>
          </w:r>
          <w:r>
            <w:instrText xml:space="preserve"> HYPERLINK \l _Toc32698 </w:instrText>
          </w:r>
          <w:r>
            <w:fldChar w:fldCharType="separate"/>
          </w:r>
          <w:r>
            <w:rPr>
              <w:rFonts w:hint="eastAsia"/>
              <w:lang w:val="en-US" w:eastAsia="zh-CN"/>
            </w:rPr>
            <w:t>TEXT6</w:t>
          </w:r>
          <w:r>
            <w:tab/>
          </w:r>
          <w:r>
            <w:fldChar w:fldCharType="begin"/>
          </w:r>
          <w:r>
            <w:instrText xml:space="preserve"> PAGEREF _Toc32698 \h </w:instrText>
          </w:r>
          <w:r>
            <w:fldChar w:fldCharType="separate"/>
          </w:r>
          <w:r>
            <w:t>18</w:t>
          </w:r>
          <w:r>
            <w:fldChar w:fldCharType="end"/>
          </w:r>
          <w:r>
            <w:fldChar w:fldCharType="end"/>
          </w:r>
        </w:p>
        <w:p>
          <w:pPr>
            <w:pStyle w:val="6"/>
            <w:tabs>
              <w:tab w:val="right" w:leader="dot" w:pos="10466"/>
            </w:tabs>
          </w:pPr>
          <w:r>
            <w:fldChar w:fldCharType="begin"/>
          </w:r>
          <w:r>
            <w:instrText xml:space="preserve"> HYPERLINK \l _Toc27653 </w:instrText>
          </w:r>
          <w:r>
            <w:fldChar w:fldCharType="separate"/>
          </w:r>
          <w:r>
            <w:rPr>
              <w:rFonts w:hint="eastAsia"/>
              <w:lang w:val="en-US" w:eastAsia="zh-CN"/>
            </w:rPr>
            <w:t>TEXT7</w:t>
          </w:r>
          <w:r>
            <w:tab/>
          </w:r>
          <w:r>
            <w:fldChar w:fldCharType="begin"/>
          </w:r>
          <w:r>
            <w:instrText xml:space="preserve"> PAGEREF _Toc27653 \h </w:instrText>
          </w:r>
          <w:r>
            <w:fldChar w:fldCharType="separate"/>
          </w:r>
          <w:r>
            <w:t>21</w:t>
          </w:r>
          <w:r>
            <w:fldChar w:fldCharType="end"/>
          </w:r>
          <w:r>
            <w:fldChar w:fldCharType="end"/>
          </w:r>
        </w:p>
        <w:p>
          <w:pPr>
            <w:pStyle w:val="6"/>
            <w:tabs>
              <w:tab w:val="right" w:leader="dot" w:pos="10466"/>
            </w:tabs>
          </w:pPr>
          <w:r>
            <w:fldChar w:fldCharType="begin"/>
          </w:r>
          <w:r>
            <w:instrText xml:space="preserve"> HYPERLINK \l _Toc30219 </w:instrText>
          </w:r>
          <w:r>
            <w:fldChar w:fldCharType="separate"/>
          </w:r>
          <w:r>
            <w:rPr>
              <w:rFonts w:hint="eastAsia"/>
              <w:lang w:val="en-US" w:eastAsia="zh-CN"/>
            </w:rPr>
            <w:t>TEXT8</w:t>
          </w:r>
          <w:r>
            <w:tab/>
          </w:r>
          <w:r>
            <w:fldChar w:fldCharType="begin"/>
          </w:r>
          <w:r>
            <w:instrText xml:space="preserve"> PAGEREF _Toc30219 \h </w:instrText>
          </w:r>
          <w:r>
            <w:fldChar w:fldCharType="separate"/>
          </w:r>
          <w:r>
            <w:t>24</w:t>
          </w:r>
          <w:r>
            <w:fldChar w:fldCharType="end"/>
          </w:r>
          <w:r>
            <w:fldChar w:fldCharType="end"/>
          </w:r>
        </w:p>
        <w:p>
          <w:pPr>
            <w:pStyle w:val="6"/>
            <w:tabs>
              <w:tab w:val="right" w:leader="dot" w:pos="10466"/>
            </w:tabs>
          </w:pPr>
          <w:r>
            <w:fldChar w:fldCharType="begin"/>
          </w:r>
          <w:r>
            <w:instrText xml:space="preserve"> HYPERLINK \l _Toc8883 </w:instrText>
          </w:r>
          <w:r>
            <w:fldChar w:fldCharType="separate"/>
          </w:r>
          <w:r>
            <w:rPr>
              <w:rFonts w:hint="eastAsia"/>
              <w:lang w:val="en-US" w:eastAsia="zh-CN"/>
            </w:rPr>
            <w:t>TEXT9</w:t>
          </w:r>
          <w:r>
            <w:tab/>
          </w:r>
          <w:r>
            <w:fldChar w:fldCharType="begin"/>
          </w:r>
          <w:r>
            <w:instrText xml:space="preserve"> PAGEREF _Toc8883 \h </w:instrText>
          </w:r>
          <w:r>
            <w:fldChar w:fldCharType="separate"/>
          </w:r>
          <w:r>
            <w:t>27</w:t>
          </w:r>
          <w:r>
            <w:fldChar w:fldCharType="end"/>
          </w:r>
          <w:r>
            <w:fldChar w:fldCharType="end"/>
          </w:r>
        </w:p>
        <w:p>
          <w:pPr>
            <w:pStyle w:val="6"/>
            <w:tabs>
              <w:tab w:val="right" w:leader="dot" w:pos="10466"/>
            </w:tabs>
          </w:pPr>
          <w:r>
            <w:fldChar w:fldCharType="begin"/>
          </w:r>
          <w:r>
            <w:instrText xml:space="preserve"> HYPERLINK \l _Toc22075 </w:instrText>
          </w:r>
          <w:r>
            <w:fldChar w:fldCharType="separate"/>
          </w:r>
          <w:r>
            <w:rPr>
              <w:rFonts w:hint="eastAsia"/>
              <w:lang w:val="en-US" w:eastAsia="zh-CN"/>
            </w:rPr>
            <w:t>TEXT10</w:t>
          </w:r>
          <w:r>
            <w:tab/>
          </w:r>
          <w:r>
            <w:fldChar w:fldCharType="begin"/>
          </w:r>
          <w:r>
            <w:instrText xml:space="preserve"> PAGEREF _Toc22075 \h </w:instrText>
          </w:r>
          <w:r>
            <w:fldChar w:fldCharType="separate"/>
          </w:r>
          <w:r>
            <w:t>30</w:t>
          </w:r>
          <w:r>
            <w:fldChar w:fldCharType="end"/>
          </w:r>
          <w:r>
            <w:fldChar w:fldCharType="end"/>
          </w:r>
        </w:p>
        <w:p>
          <w:pPr>
            <w:pStyle w:val="6"/>
            <w:tabs>
              <w:tab w:val="right" w:leader="dot" w:pos="10466"/>
            </w:tabs>
          </w:pPr>
          <w:r>
            <w:fldChar w:fldCharType="begin"/>
          </w:r>
          <w:r>
            <w:instrText xml:space="preserve"> HYPERLINK \l _Toc532 </w:instrText>
          </w:r>
          <w:r>
            <w:fldChar w:fldCharType="separate"/>
          </w:r>
          <w:r>
            <w:rPr>
              <w:rFonts w:hint="eastAsia"/>
              <w:lang w:val="en-US" w:eastAsia="zh-CN"/>
            </w:rPr>
            <w:t>TEXT11</w:t>
          </w:r>
          <w:r>
            <w:tab/>
          </w:r>
          <w:r>
            <w:fldChar w:fldCharType="begin"/>
          </w:r>
          <w:r>
            <w:instrText xml:space="preserve"> PAGEREF _Toc532 \h </w:instrText>
          </w:r>
          <w:r>
            <w:fldChar w:fldCharType="separate"/>
          </w:r>
          <w:r>
            <w:t>33</w:t>
          </w:r>
          <w:r>
            <w:fldChar w:fldCharType="end"/>
          </w:r>
          <w:r>
            <w:fldChar w:fldCharType="end"/>
          </w:r>
        </w:p>
        <w:p>
          <w:pPr>
            <w:pStyle w:val="6"/>
            <w:tabs>
              <w:tab w:val="right" w:leader="dot" w:pos="10466"/>
            </w:tabs>
          </w:pPr>
          <w:r>
            <w:fldChar w:fldCharType="begin"/>
          </w:r>
          <w:r>
            <w:instrText xml:space="preserve"> HYPERLINK \l _Toc4714 </w:instrText>
          </w:r>
          <w:r>
            <w:fldChar w:fldCharType="separate"/>
          </w:r>
          <w:r>
            <w:rPr>
              <w:rFonts w:hint="eastAsia"/>
              <w:lang w:val="en-US" w:eastAsia="zh-CN"/>
            </w:rPr>
            <w:t>TEXT12</w:t>
          </w:r>
          <w:r>
            <w:tab/>
          </w:r>
          <w:r>
            <w:fldChar w:fldCharType="begin"/>
          </w:r>
          <w:r>
            <w:instrText xml:space="preserve"> PAGEREF _Toc4714 \h </w:instrText>
          </w:r>
          <w:r>
            <w:fldChar w:fldCharType="separate"/>
          </w:r>
          <w:r>
            <w:t>36</w:t>
          </w:r>
          <w:r>
            <w:fldChar w:fldCharType="end"/>
          </w:r>
          <w:r>
            <w:fldChar w:fldCharType="end"/>
          </w:r>
        </w:p>
        <w:p>
          <w:pPr>
            <w:pStyle w:val="6"/>
            <w:tabs>
              <w:tab w:val="right" w:leader="dot" w:pos="10466"/>
            </w:tabs>
          </w:pPr>
          <w:r>
            <w:fldChar w:fldCharType="begin"/>
          </w:r>
          <w:r>
            <w:instrText xml:space="preserve"> HYPERLINK \l _Toc12343 </w:instrText>
          </w:r>
          <w:r>
            <w:fldChar w:fldCharType="separate"/>
          </w:r>
          <w:r>
            <w:rPr>
              <w:rFonts w:hint="eastAsia"/>
              <w:lang w:val="en-US" w:eastAsia="zh-CN"/>
            </w:rPr>
            <w:t>TEXT13</w:t>
          </w:r>
          <w:r>
            <w:tab/>
          </w:r>
          <w:r>
            <w:fldChar w:fldCharType="begin"/>
          </w:r>
          <w:r>
            <w:instrText xml:space="preserve"> PAGEREF _Toc12343 \h </w:instrText>
          </w:r>
          <w:r>
            <w:fldChar w:fldCharType="separate"/>
          </w:r>
          <w:r>
            <w:t>39</w:t>
          </w:r>
          <w:r>
            <w:fldChar w:fldCharType="end"/>
          </w:r>
          <w:r>
            <w:fldChar w:fldCharType="end"/>
          </w:r>
        </w:p>
        <w:p>
          <w:pPr>
            <w:pStyle w:val="6"/>
            <w:tabs>
              <w:tab w:val="right" w:leader="dot" w:pos="10466"/>
            </w:tabs>
          </w:pPr>
          <w:r>
            <w:fldChar w:fldCharType="begin"/>
          </w:r>
          <w:r>
            <w:instrText xml:space="preserve"> HYPERLINK \l _Toc2833 </w:instrText>
          </w:r>
          <w:r>
            <w:fldChar w:fldCharType="separate"/>
          </w:r>
          <w:r>
            <w:rPr>
              <w:rFonts w:hint="eastAsia"/>
              <w:lang w:val="en-US" w:eastAsia="zh-CN"/>
            </w:rPr>
            <w:t>TEXT14</w:t>
          </w:r>
          <w:r>
            <w:tab/>
          </w:r>
          <w:r>
            <w:fldChar w:fldCharType="begin"/>
          </w:r>
          <w:r>
            <w:instrText xml:space="preserve"> PAGEREF _Toc2833 \h </w:instrText>
          </w:r>
          <w:r>
            <w:fldChar w:fldCharType="separate"/>
          </w:r>
          <w:r>
            <w:t>42</w:t>
          </w:r>
          <w:r>
            <w:fldChar w:fldCharType="end"/>
          </w:r>
          <w:r>
            <w:fldChar w:fldCharType="end"/>
          </w:r>
        </w:p>
        <w:p>
          <w:pPr>
            <w:pStyle w:val="6"/>
            <w:tabs>
              <w:tab w:val="right" w:leader="dot" w:pos="10466"/>
            </w:tabs>
          </w:pPr>
          <w:r>
            <w:fldChar w:fldCharType="begin"/>
          </w:r>
          <w:r>
            <w:instrText xml:space="preserve"> HYPERLINK \l _Toc15286 </w:instrText>
          </w:r>
          <w:r>
            <w:fldChar w:fldCharType="separate"/>
          </w:r>
          <w:r>
            <w:rPr>
              <w:rFonts w:hint="eastAsia"/>
              <w:lang w:val="en-US" w:eastAsia="zh-CN"/>
            </w:rPr>
            <w:t>TEXT15</w:t>
          </w:r>
          <w:r>
            <w:tab/>
          </w:r>
          <w:r>
            <w:fldChar w:fldCharType="begin"/>
          </w:r>
          <w:r>
            <w:instrText xml:space="preserve"> PAGEREF _Toc15286 \h </w:instrText>
          </w:r>
          <w:r>
            <w:fldChar w:fldCharType="separate"/>
          </w:r>
          <w:r>
            <w:t>45</w:t>
          </w:r>
          <w:r>
            <w:fldChar w:fldCharType="end"/>
          </w:r>
          <w:r>
            <w:fldChar w:fldCharType="end"/>
          </w:r>
        </w:p>
        <w:p>
          <w:pPr>
            <w:pStyle w:val="6"/>
            <w:tabs>
              <w:tab w:val="right" w:leader="dot" w:pos="10466"/>
            </w:tabs>
          </w:pPr>
          <w:r>
            <w:fldChar w:fldCharType="begin"/>
          </w:r>
          <w:r>
            <w:instrText xml:space="preserve"> HYPERLINK \l _Toc3163 </w:instrText>
          </w:r>
          <w:r>
            <w:fldChar w:fldCharType="separate"/>
          </w:r>
          <w:r>
            <w:rPr>
              <w:rFonts w:hint="eastAsia"/>
              <w:lang w:val="en-US" w:eastAsia="zh-CN"/>
            </w:rPr>
            <w:t>TEXT16</w:t>
          </w:r>
          <w:r>
            <w:tab/>
          </w:r>
          <w:r>
            <w:fldChar w:fldCharType="begin"/>
          </w:r>
          <w:r>
            <w:instrText xml:space="preserve"> PAGEREF _Toc3163 \h </w:instrText>
          </w:r>
          <w:r>
            <w:fldChar w:fldCharType="separate"/>
          </w:r>
          <w:r>
            <w:t>48</w:t>
          </w:r>
          <w:r>
            <w:fldChar w:fldCharType="end"/>
          </w:r>
          <w:r>
            <w:fldChar w:fldCharType="end"/>
          </w:r>
        </w:p>
        <w:p>
          <w:pPr>
            <w:pStyle w:val="6"/>
            <w:tabs>
              <w:tab w:val="right" w:leader="dot" w:pos="10466"/>
            </w:tabs>
          </w:pPr>
          <w:r>
            <w:fldChar w:fldCharType="begin"/>
          </w:r>
          <w:r>
            <w:instrText xml:space="preserve"> HYPERLINK \l _Toc16413 </w:instrText>
          </w:r>
          <w:r>
            <w:fldChar w:fldCharType="separate"/>
          </w:r>
          <w:r>
            <w:rPr>
              <w:rFonts w:hint="eastAsia"/>
              <w:lang w:val="en-US" w:eastAsia="zh-CN"/>
            </w:rPr>
            <w:t>TEXT17</w:t>
          </w:r>
          <w:r>
            <w:tab/>
          </w:r>
          <w:r>
            <w:fldChar w:fldCharType="begin"/>
          </w:r>
          <w:r>
            <w:instrText xml:space="preserve"> PAGEREF _Toc16413 \h </w:instrText>
          </w:r>
          <w:r>
            <w:fldChar w:fldCharType="separate"/>
          </w:r>
          <w:r>
            <w:t>51</w:t>
          </w:r>
          <w:r>
            <w:fldChar w:fldCharType="end"/>
          </w:r>
          <w:r>
            <w:fldChar w:fldCharType="end"/>
          </w:r>
        </w:p>
        <w:p>
          <w:pPr>
            <w:pStyle w:val="6"/>
            <w:tabs>
              <w:tab w:val="right" w:leader="dot" w:pos="10466"/>
            </w:tabs>
          </w:pPr>
          <w:r>
            <w:fldChar w:fldCharType="begin"/>
          </w:r>
          <w:r>
            <w:instrText xml:space="preserve"> HYPERLINK \l _Toc2930 </w:instrText>
          </w:r>
          <w:r>
            <w:fldChar w:fldCharType="separate"/>
          </w:r>
          <w:r>
            <w:rPr>
              <w:rFonts w:hint="eastAsia"/>
              <w:lang w:val="en-US" w:eastAsia="zh-CN"/>
            </w:rPr>
            <w:t>TEXT18</w:t>
          </w:r>
          <w:r>
            <w:tab/>
          </w:r>
          <w:r>
            <w:fldChar w:fldCharType="begin"/>
          </w:r>
          <w:r>
            <w:instrText xml:space="preserve"> PAGEREF _Toc2930 \h </w:instrText>
          </w:r>
          <w:r>
            <w:fldChar w:fldCharType="separate"/>
          </w:r>
          <w:r>
            <w:t>54</w:t>
          </w:r>
          <w:r>
            <w:fldChar w:fldCharType="end"/>
          </w:r>
          <w:r>
            <w:fldChar w:fldCharType="end"/>
          </w:r>
        </w:p>
        <w:p>
          <w:pPr>
            <w:pStyle w:val="6"/>
            <w:tabs>
              <w:tab w:val="right" w:leader="dot" w:pos="10466"/>
            </w:tabs>
          </w:pPr>
          <w:r>
            <w:fldChar w:fldCharType="begin"/>
          </w:r>
          <w:r>
            <w:instrText xml:space="preserve"> HYPERLINK \l _Toc11927 </w:instrText>
          </w:r>
          <w:r>
            <w:fldChar w:fldCharType="separate"/>
          </w:r>
          <w:r>
            <w:rPr>
              <w:rFonts w:hint="eastAsia"/>
              <w:lang w:val="en-US" w:eastAsia="zh-CN"/>
            </w:rPr>
            <w:t>TEXT19</w:t>
          </w:r>
          <w:r>
            <w:tab/>
          </w:r>
          <w:r>
            <w:fldChar w:fldCharType="begin"/>
          </w:r>
          <w:r>
            <w:instrText xml:space="preserve"> PAGEREF _Toc11927 \h </w:instrText>
          </w:r>
          <w:r>
            <w:fldChar w:fldCharType="separate"/>
          </w:r>
          <w:r>
            <w:t>57</w:t>
          </w:r>
          <w:r>
            <w:fldChar w:fldCharType="end"/>
          </w:r>
          <w:r>
            <w:fldChar w:fldCharType="end"/>
          </w:r>
        </w:p>
        <w:p>
          <w:pPr>
            <w:pStyle w:val="6"/>
            <w:tabs>
              <w:tab w:val="right" w:leader="dot" w:pos="10466"/>
            </w:tabs>
          </w:pPr>
          <w:r>
            <w:fldChar w:fldCharType="begin"/>
          </w:r>
          <w:r>
            <w:instrText xml:space="preserve"> HYPERLINK \l _Toc19182 </w:instrText>
          </w:r>
          <w:r>
            <w:fldChar w:fldCharType="separate"/>
          </w:r>
          <w:r>
            <w:rPr>
              <w:rFonts w:hint="eastAsia"/>
              <w:lang w:val="en-US" w:eastAsia="zh-CN"/>
            </w:rPr>
            <w:t>TEXT20</w:t>
          </w:r>
          <w:r>
            <w:tab/>
          </w:r>
          <w:r>
            <w:fldChar w:fldCharType="begin"/>
          </w:r>
          <w:r>
            <w:instrText xml:space="preserve"> PAGEREF _Toc19182 \h </w:instrText>
          </w:r>
          <w:r>
            <w:fldChar w:fldCharType="separate"/>
          </w:r>
          <w:r>
            <w:t>60</w:t>
          </w:r>
          <w:r>
            <w:fldChar w:fldCharType="end"/>
          </w:r>
          <w:r>
            <w:fldChar w:fldCharType="end"/>
          </w:r>
        </w:p>
        <w:p>
          <w:pPr>
            <w:pStyle w:val="6"/>
            <w:tabs>
              <w:tab w:val="right" w:leader="dot" w:pos="10466"/>
            </w:tabs>
          </w:pPr>
          <w:r>
            <w:fldChar w:fldCharType="begin"/>
          </w:r>
          <w:r>
            <w:instrText xml:space="preserve"> HYPERLINK \l _Toc25863 </w:instrText>
          </w:r>
          <w:r>
            <w:fldChar w:fldCharType="separate"/>
          </w:r>
          <w:r>
            <w:rPr>
              <w:rFonts w:hint="eastAsia"/>
              <w:lang w:val="en-US" w:eastAsia="zh-CN"/>
            </w:rPr>
            <w:t>TEXT21</w:t>
          </w:r>
          <w:r>
            <w:tab/>
          </w:r>
          <w:r>
            <w:fldChar w:fldCharType="begin"/>
          </w:r>
          <w:r>
            <w:instrText xml:space="preserve"> PAGEREF _Toc25863 \h </w:instrText>
          </w:r>
          <w:r>
            <w:fldChar w:fldCharType="separate"/>
          </w:r>
          <w:r>
            <w:t>63</w:t>
          </w:r>
          <w:r>
            <w:fldChar w:fldCharType="end"/>
          </w:r>
          <w:r>
            <w:fldChar w:fldCharType="end"/>
          </w:r>
        </w:p>
        <w:p>
          <w:pPr>
            <w:pStyle w:val="6"/>
            <w:tabs>
              <w:tab w:val="right" w:leader="dot" w:pos="10466"/>
            </w:tabs>
          </w:pPr>
          <w:r>
            <w:fldChar w:fldCharType="begin"/>
          </w:r>
          <w:r>
            <w:instrText xml:space="preserve"> HYPERLINK \l _Toc2060 </w:instrText>
          </w:r>
          <w:r>
            <w:fldChar w:fldCharType="separate"/>
          </w:r>
          <w:r>
            <w:rPr>
              <w:rFonts w:hint="eastAsia"/>
              <w:lang w:val="en-US" w:eastAsia="zh-CN"/>
            </w:rPr>
            <w:t>TEXT22</w:t>
          </w:r>
          <w:r>
            <w:tab/>
          </w:r>
          <w:r>
            <w:fldChar w:fldCharType="begin"/>
          </w:r>
          <w:r>
            <w:instrText xml:space="preserve"> PAGEREF _Toc2060 \h </w:instrText>
          </w:r>
          <w:r>
            <w:fldChar w:fldCharType="separate"/>
          </w:r>
          <w:r>
            <w:t>66</w:t>
          </w:r>
          <w:r>
            <w:fldChar w:fldCharType="end"/>
          </w:r>
          <w:r>
            <w:fldChar w:fldCharType="end"/>
          </w:r>
        </w:p>
        <w:p>
          <w:pPr>
            <w:pStyle w:val="6"/>
            <w:tabs>
              <w:tab w:val="right" w:leader="dot" w:pos="10466"/>
            </w:tabs>
          </w:pPr>
          <w:r>
            <w:fldChar w:fldCharType="begin"/>
          </w:r>
          <w:r>
            <w:instrText xml:space="preserve"> HYPERLINK \l _Toc20222 </w:instrText>
          </w:r>
          <w:r>
            <w:fldChar w:fldCharType="separate"/>
          </w:r>
          <w:r>
            <w:rPr>
              <w:rFonts w:hint="eastAsia"/>
              <w:lang w:val="en-US" w:eastAsia="zh-CN"/>
            </w:rPr>
            <w:t>TEXT23</w:t>
          </w:r>
          <w:r>
            <w:tab/>
          </w:r>
          <w:r>
            <w:fldChar w:fldCharType="begin"/>
          </w:r>
          <w:r>
            <w:instrText xml:space="preserve"> PAGEREF _Toc20222 \h </w:instrText>
          </w:r>
          <w:r>
            <w:fldChar w:fldCharType="separate"/>
          </w:r>
          <w:r>
            <w:t>69</w:t>
          </w:r>
          <w:r>
            <w:fldChar w:fldCharType="end"/>
          </w:r>
          <w:r>
            <w:fldChar w:fldCharType="end"/>
          </w:r>
        </w:p>
        <w:p>
          <w:pPr>
            <w:pStyle w:val="6"/>
            <w:tabs>
              <w:tab w:val="right" w:leader="dot" w:pos="10466"/>
            </w:tabs>
          </w:pPr>
          <w:r>
            <w:fldChar w:fldCharType="begin"/>
          </w:r>
          <w:r>
            <w:instrText xml:space="preserve"> HYPERLINK \l _Toc7770 </w:instrText>
          </w:r>
          <w:r>
            <w:fldChar w:fldCharType="separate"/>
          </w:r>
          <w:r>
            <w:rPr>
              <w:rFonts w:hint="eastAsia"/>
              <w:lang w:val="en-US" w:eastAsia="zh-CN"/>
            </w:rPr>
            <w:t>TEXT24</w:t>
          </w:r>
          <w:r>
            <w:tab/>
          </w:r>
          <w:r>
            <w:fldChar w:fldCharType="begin"/>
          </w:r>
          <w:r>
            <w:instrText xml:space="preserve"> PAGEREF _Toc7770 \h </w:instrText>
          </w:r>
          <w:r>
            <w:fldChar w:fldCharType="separate"/>
          </w:r>
          <w:r>
            <w:t>72</w:t>
          </w:r>
          <w:r>
            <w:fldChar w:fldCharType="end"/>
          </w:r>
          <w:r>
            <w:fldChar w:fldCharType="end"/>
          </w:r>
        </w:p>
        <w:p>
          <w:pPr>
            <w:pStyle w:val="6"/>
            <w:tabs>
              <w:tab w:val="right" w:leader="dot" w:pos="10466"/>
            </w:tabs>
            <w:rPr>
              <w:rFonts w:hint="eastAsia" w:eastAsiaTheme="minorEastAsia"/>
              <w:lang w:val="en-US" w:eastAsia="zh-CN"/>
            </w:rPr>
          </w:pPr>
          <w:r>
            <w:fldChar w:fldCharType="end"/>
          </w:r>
          <w:r>
            <w:fldChar w:fldCharType="begin"/>
          </w:r>
          <w:r>
            <w:instrText xml:space="preserve"> HYPERLINK \l _Toc7770 </w:instrText>
          </w:r>
          <w:r>
            <w:fldChar w:fldCharType="separate"/>
          </w:r>
          <w:r>
            <w:rPr>
              <w:rFonts w:hint="eastAsia"/>
              <w:lang w:val="en-US" w:eastAsia="zh-CN"/>
            </w:rPr>
            <w:t>TEXT25</w:t>
          </w:r>
          <w:r>
            <w:tab/>
          </w:r>
          <w:r>
            <w:rPr>
              <w:rFonts w:hint="eastAsia"/>
              <w:lang w:val="en-US" w:eastAsia="zh-CN"/>
            </w:rPr>
            <w:t>7</w:t>
          </w:r>
          <w:r>
            <w:fldChar w:fldCharType="end"/>
          </w:r>
          <w:r>
            <w:rPr>
              <w:rFonts w:hint="eastAsia"/>
              <w:lang w:val="en-US" w:eastAsia="zh-CN"/>
            </w:rPr>
            <w:t>5</w:t>
          </w:r>
        </w:p>
        <w:p>
          <w:pPr>
            <w:pStyle w:val="6"/>
            <w:tabs>
              <w:tab w:val="right" w:leader="dot" w:pos="10466"/>
            </w:tabs>
            <w:rPr>
              <w:rFonts w:hint="eastAsia" w:eastAsiaTheme="minorEastAsia"/>
              <w:lang w:val="en-US" w:eastAsia="zh-CN"/>
            </w:rPr>
          </w:pPr>
          <w:r>
            <w:fldChar w:fldCharType="begin"/>
          </w:r>
          <w:r>
            <w:instrText xml:space="preserve"> HYPERLINK \l _Toc7770 </w:instrText>
          </w:r>
          <w:r>
            <w:fldChar w:fldCharType="separate"/>
          </w:r>
          <w:r>
            <w:rPr>
              <w:rFonts w:hint="eastAsia"/>
              <w:lang w:val="en-US" w:eastAsia="zh-CN"/>
            </w:rPr>
            <w:t>TEXT26</w:t>
          </w:r>
          <w:r>
            <w:tab/>
          </w:r>
          <w:r>
            <w:rPr>
              <w:rFonts w:hint="eastAsia"/>
              <w:lang w:val="en-US" w:eastAsia="zh-CN"/>
            </w:rPr>
            <w:t>7</w:t>
          </w:r>
          <w:r>
            <w:fldChar w:fldCharType="end"/>
          </w:r>
          <w:r>
            <w:rPr>
              <w:rFonts w:hint="eastAsia"/>
              <w:lang w:val="en-US" w:eastAsia="zh-CN"/>
            </w:rPr>
            <w:t>8</w:t>
          </w:r>
        </w:p>
        <w:p/>
      </w:sdtContent>
    </w:sdt>
    <w:p>
      <w:pPr>
        <w:rPr>
          <w:rFonts w:hint="eastAsia"/>
          <w:lang w:val="en-US" w:eastAsia="zh-CN"/>
        </w:rPr>
      </w:pPr>
      <w:r>
        <w:rPr>
          <w:rFonts w:hint="eastAsia"/>
          <w:lang w:val="en-US" w:eastAsia="zh-CN"/>
        </w:rPr>
        <w:br w:type="page"/>
      </w:r>
    </w:p>
    <w:p>
      <w:pPr>
        <w:pStyle w:val="2"/>
        <w:bidi w:val="0"/>
        <w:rPr>
          <w:rFonts w:hint="eastAsia"/>
          <w:lang w:val="en-US" w:eastAsia="zh-CN"/>
        </w:rPr>
      </w:pPr>
      <w:bookmarkStart w:id="0" w:name="_Toc28447"/>
      <w:r>
        <w:rPr>
          <w:rFonts w:hint="eastAsia"/>
          <w:lang w:val="en-US" w:eastAsia="zh-CN"/>
        </w:rPr>
        <w:t>TEXT1</w:t>
      </w:r>
      <w:bookmarkEnd w:id="0"/>
    </w:p>
    <w:p>
      <w:pPr>
        <w:pStyle w:val="3"/>
        <w:keepNext w:val="0"/>
        <w:keepLines w:val="0"/>
        <w:pageBreakBefore w:val="0"/>
        <w:widowControl w:val="0"/>
        <w:kinsoku/>
        <w:wordWrap/>
        <w:overflowPunct/>
        <w:topLinePunct w:val="0"/>
        <w:autoSpaceDE/>
        <w:autoSpaceDN/>
        <w:bidi w:val="0"/>
        <w:adjustRightInd/>
        <w:snapToGrid/>
        <w:spacing w:line="400" w:lineRule="exact"/>
        <w:ind w:left="198" w:right="201" w:firstLine="437"/>
        <w:jc w:val="both"/>
        <w:textAlignment w:val="auto"/>
      </w:pPr>
      <w:r>
        <w:t>How can the train operators possibly justify yet another increase to rail passenger fares? It has become a grimly reliable annual ritual: every January the cost of travelling by train rises, imposing a significant extra burden on those who have no option but to use the rail network to get to work or otherwise. This year’s rise, an average of 2.7 percent, may be a fraction lower than last year’s, but it is still well above the official Consumer Price Index (CPI) measure of</w:t>
      </w:r>
      <w:r>
        <w:rPr>
          <w:spacing w:val="-23"/>
        </w:rPr>
        <w:t xml:space="preserve"> </w:t>
      </w:r>
      <w:r>
        <w:t>inflation.</w:t>
      </w:r>
    </w:p>
    <w:p>
      <w:pPr>
        <w:pStyle w:val="3"/>
        <w:keepNext w:val="0"/>
        <w:keepLines w:val="0"/>
        <w:pageBreakBefore w:val="0"/>
        <w:widowControl w:val="0"/>
        <w:kinsoku/>
        <w:wordWrap/>
        <w:overflowPunct/>
        <w:topLinePunct w:val="0"/>
        <w:autoSpaceDE/>
        <w:autoSpaceDN/>
        <w:bidi w:val="0"/>
        <w:adjustRightInd/>
        <w:snapToGrid/>
        <w:spacing w:before="3" w:line="400" w:lineRule="exact"/>
        <w:ind w:left="198" w:right="205" w:firstLine="437"/>
        <w:jc w:val="both"/>
        <w:textAlignment w:val="auto"/>
      </w:pPr>
      <w: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 Equally, there is a sense that the travails of commuters in the South East, many of whom will face among the biggest rises, have received too much attention compared to those who must endure the relatively poor infrastructure of the Midlands and the North.</w:t>
      </w:r>
    </w:p>
    <w:p>
      <w:pPr>
        <w:pStyle w:val="3"/>
        <w:keepNext w:val="0"/>
        <w:keepLines w:val="0"/>
        <w:pageBreakBefore w:val="0"/>
        <w:widowControl w:val="0"/>
        <w:kinsoku/>
        <w:wordWrap/>
        <w:overflowPunct/>
        <w:topLinePunct w:val="0"/>
        <w:autoSpaceDE/>
        <w:autoSpaceDN/>
        <w:bidi w:val="0"/>
        <w:adjustRightInd/>
        <w:snapToGrid/>
        <w:spacing w:before="2" w:line="400" w:lineRule="exact"/>
        <w:ind w:left="198" w:right="198" w:firstLine="437"/>
        <w:jc w:val="both"/>
        <w:textAlignment w:val="auto"/>
      </w:pPr>
      <w: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w:t>
      </w:r>
      <w:r>
        <w:rPr>
          <w:spacing w:val="-11"/>
        </w:rPr>
        <w:t xml:space="preserve"> </w:t>
      </w:r>
      <w:r>
        <w:t>suffered.</w:t>
      </w:r>
    </w:p>
    <w:p>
      <w:pPr>
        <w:pStyle w:val="3"/>
        <w:keepNext w:val="0"/>
        <w:keepLines w:val="0"/>
        <w:pageBreakBefore w:val="0"/>
        <w:widowControl w:val="0"/>
        <w:kinsoku/>
        <w:wordWrap/>
        <w:overflowPunct/>
        <w:topLinePunct w:val="0"/>
        <w:autoSpaceDE/>
        <w:autoSpaceDN/>
        <w:bidi w:val="0"/>
        <w:adjustRightInd/>
        <w:snapToGrid/>
        <w:spacing w:before="2" w:line="400" w:lineRule="exact"/>
        <w:ind w:left="198" w:right="201" w:firstLine="437"/>
        <w:jc w:val="both"/>
        <w:textAlignment w:val="auto"/>
      </w:pPr>
      <w:r>
        <w:t>The Government has pledged to change the law to introduce a minimum service requirement so that, even when strikes occur, services can continue to operate. This should form part of a  wider package of measures to address the long-running problems on Britain’s railways. Yes, more investment is needed, but passengers will not be willing to pay more indefinitely if they must also endure cramped, unreliable services, punctuated by regular chaos when timetables are changed, or planned maintenance is managed incompetently. The threat of nationalisation may have been seen off for now, but it will return with a vengeance if the justified anger of passengers is not addressed in short order.</w:t>
      </w: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pPr>
        <w:pStyle w:val="3"/>
        <w:keepNext w:val="0"/>
        <w:keepLines w:val="0"/>
        <w:pageBreakBefore w:val="0"/>
        <w:widowControl w:val="0"/>
        <w:kinsoku/>
        <w:wordWrap/>
        <w:overflowPunct/>
        <w:topLinePunct w:val="0"/>
        <w:autoSpaceDE/>
        <w:autoSpaceDN/>
        <w:bidi w:val="0"/>
        <w:adjustRightInd/>
        <w:snapToGrid/>
        <w:spacing w:before="4" w:line="400" w:lineRule="exact"/>
        <w:ind w:right="200"/>
        <w:jc w:val="both"/>
        <w:textAlignment w:val="auto"/>
      </w:pP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sectPr>
          <w:headerReference r:id="rId3" w:type="default"/>
          <w:footerReference r:id="rId4" w:type="default"/>
          <w:pgSz w:w="11906" w:h="16838"/>
          <w:pgMar w:top="720" w:right="720" w:bottom="720" w:left="720" w:header="851" w:footer="992" w:gutter="0"/>
          <w:cols w:space="425" w:num="1"/>
          <w:docGrid w:type="lines" w:linePitch="312" w:charSpace="0"/>
        </w:sectPr>
      </w:pP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21.The author holds that this year’s increase in rail passengers fares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[A]will ease train operation’s burden</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[B]has kept pace with inflation</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[C]is a big surprise to commuters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[D]remains an unreasonable measure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22.The stockbroker in Para. 2 is used to stand for</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[A]car drivers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[B]rail </w:t>
      </w:r>
      <w:r>
        <w:rPr>
          <w:rFonts w:hint="eastAsia"/>
          <w:lang w:val="en-US" w:eastAsia="zh-CN"/>
        </w:rPr>
        <w:t>travellers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[C]local investors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[D]ordinary tax payers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23.It is indicated in Para. 3 that train operators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[A]are offering compensations to commuters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[B]are trying to repair </w:t>
      </w:r>
      <w:r>
        <w:rPr>
          <w:rFonts w:hint="eastAsia"/>
          <w:lang w:val="en-US" w:eastAsia="zh-CN"/>
        </w:rPr>
        <w:t>relations</w:t>
      </w:r>
      <w:r>
        <w:rPr>
          <w:rFonts w:hint="default"/>
          <w:lang w:val="en-US" w:eastAsia="zh-CN"/>
        </w:rPr>
        <w:t xml:space="preserve"> with the unions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[C]have failed to provide an adequate source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[D]have suffered huge losses owing to the strikes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24.If unable to calm down passengers, the railways may have to face</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[A]the loss of investment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[B]the collapse of operations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[C]a reduction of revenue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[D]a change of ownership</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[A]Who Are to Blame for the Strikes?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[B]Constant Complaining Doesn’t </w:t>
      </w:r>
      <w:r>
        <w:rPr>
          <w:rFonts w:hint="eastAsia"/>
          <w:lang w:val="en-US" w:eastAsia="zh-CN"/>
        </w:rPr>
        <w:t>Work</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[C]Can Nationalization Bring Hope?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Ever-rising Fares Aren’t Sustainable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B C D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1" w:name="_Toc3353"/>
      <w:r>
        <w:rPr>
          <w:rFonts w:hint="eastAsia"/>
          <w:b/>
          <w:lang w:val="en-US" w:eastAsia="zh-CN"/>
        </w:rPr>
        <w:t>TEXT 2</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year marked the third year in a row of when Indonesia’s bleak rate of deforestation has slowed in pace. One reason for the turnaround may be the country’s antipoverty program.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2007, 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 They’re already used in dozens of countries worldwide. In Indonesia, the program has provided enough food and medicine to substantially reduce severe growth problems among children.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CCT programs don’t generally consider effects on the environment. In fact, poverty alleviation and environmental protection are often viewed as conflicting goals, says Paul Ferraro, an economist at Johns Hopkins University.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because economic growth can be correlated with environmental degradation, while protecting the environment is sometimes correlated with greater poverty. 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 Ferraro says.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Such programs do not have to negatively affect the environment, though. Ferraro wanted to see if Indonesia’s poverty-alleviation program was affecting deforestation. Indonesia has the third-largest area of tropical forest in the world and one of the highest deforestation rates.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Ferraro analyzed satellite data showing annual forest loss from 2008 to 2012—including during Indonesia’s phase-in of the antipoverty program—in 7,468 forested villages across 15 provinces and multiple islands. The duo separated the effects of the CCT program on forest loss from other factors, like weather and macroeconomic changes, which were  also  affecting forest loss. With that, “we see that the program is associated with a 30 percent reduction in deforestation,” Ferraro says.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likely because the rural poor are using the money as makeshift insurance policies against inclement weather, Ferraro says. Typically, if rains are delayed, people may clear land to plant more rice to supplement their harvests. With the CCTs, individuals instead can use the money to supplement their harvests.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Whether this research translates elsewhere is anybody’s guess. Ferraro suggests the importance of growing rice and market access. And regardless of transferability, the study shows that what’s good for people may also be good for the value of the avoided deforestation just for carbon dioxide emissions alone is more than the program costs.”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br w:type="page"/>
      </w:r>
      <w:bookmarkStart w:id="28" w:name="_GoBack"/>
      <w:bookmarkEnd w:id="28"/>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space="0"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26.According to the first two paragraphs, CCT programs aim to</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[A]facilitate health care reform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[B]help poor families get better off</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[C]improve local education systems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[D]lower deforestation rates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27.The study based on an area in Mexico is cited to show that </w:t>
      </w:r>
      <w:r>
        <w:rPr>
          <w:rFonts w:hint="eastAsia"/>
          <w:lang w:val="en-US" w:eastAsia="zh-CN"/>
        </w:rPr>
        <w:t>_____</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[A]cattle rearing has been a major means of livelihood for the poor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[B]CCT programs have helped preserve traditional lifestyles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[C]antipoverty efforts require the participation of local farmers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[D]economic growth tends to cause environmental degradation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28.In his study about Indonesia, Ferraro intends to find out </w:t>
      </w:r>
      <w:r>
        <w:rPr>
          <w:rFonts w:hint="eastAsia"/>
          <w:lang w:val="en-US" w:eastAsia="zh-CN"/>
        </w:rPr>
        <w:t>_____</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[A]its acceptance level of CCTs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[B]its annual rate of poverty alleviation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relation of CCTs to its forest loss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role of its forests in climate change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29.According to Ferraro, the CCT program in Indonesia is most valuable in that</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 will benefit other Asian countries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 will reduce regional inequality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[C]it can protect the environment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[D]it can boost grain production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30.What is the text centered 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[A]The effects of a program.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[B]The debates over a program.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process of a study.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transferability of a study.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 B D C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rPr>
          <w:rFonts w:hint="default"/>
          <w:lang w:val="en-US" w:eastAsia="zh-CN"/>
        </w:rPr>
      </w:pPr>
      <w:r>
        <w:rPr>
          <w:rFonts w:hint="default"/>
          <w:lang w:val="en-US" w:eastAsia="zh-CN"/>
        </w:rPr>
        <w:br w:type="page"/>
      </w:r>
    </w:p>
    <w:p>
      <w:pPr>
        <w:pStyle w:val="2"/>
        <w:bidi w:val="0"/>
        <w:rPr>
          <w:rFonts w:hint="default"/>
          <w:lang w:val="en-US" w:eastAsia="zh-CN"/>
        </w:rPr>
      </w:pPr>
      <w:bookmarkStart w:id="2" w:name="_Toc25753"/>
      <w:r>
        <w:rPr>
          <w:rFonts w:hint="eastAsia"/>
          <w:lang w:val="en-US" w:eastAsia="zh-CN"/>
        </w:rPr>
        <w:t>TEXT3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As a historian, who’s always searching for the text or the image that makes us re-evaluate the past. I’ve become preoccupied with looking for photographs that show our Victorian ancestors smiling (what better way to shatter the image of 19th-century prudery?). I’ve found quite a few, and—since I started posting them on Twitter—they have been causing quite a stir. People have been surprised to see evidence that Victorians had fun and could, and did, laugh. They are noting that the Victorians suddenly seem to become more human as the hundred-or-so years that separate us fade away through our common experience of laughter.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 How do we explain this trend?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 non-committal blank stare became the  norm.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But exposure times were much quicker by the 1880s, and the introduction of the Box Brownie and other portable cameras meant that, though slow by today’s digital standards, the exposure was almost instantaneous. Spontaneous smiles were relatively easy to capture by the 1890s, so we must look elsewhere for an explanation of why Victorians still hesitated to smile.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One explanation might be the loss of dignity displayed through a cheesy grin. “Nature gave us lips to conceal our teeth,” ran one popular Victorian maxim, alluding to the fact that before the birth of proper dentistry, mouths were often in a shocking state of hygiene. A flashing set of healthy and clean, regular “pearly whites” was a rare sight in Victorian society, the preserve of the super-rich (and even then, dental hygiene was not guaranteed).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 toothy grin (especially when there were gaps or blackened gnashers) lacked class: drunks, tramps, prostitutes and buffoonish music hall performers might gurn and grin with a smile as wide as Lewis Carroll’s gum-exposing Cheshire Cat, but it was not a becoming look for properly bred persons. Even Mark Twain, a man who enjoyed a hearty laugh, said that when it came to photographic portraits there could be “nothing more damning than a silly, foolish smile fixed forever”.</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0" w:num="1"/>
          <w:docGrid w:type="lines" w:linePitch="312" w:charSpace="0"/>
        </w:sectPr>
      </w:pPr>
    </w:p>
    <w:p>
      <w:pPr>
        <w:rPr>
          <w:rFonts w:hint="default"/>
          <w:lang w:val="en-US" w:eastAsia="zh-CN"/>
        </w:rPr>
      </w:pPr>
      <w:r>
        <w:rPr>
          <w:rFonts w:hint="default"/>
          <w:lang w:val="en-US" w:eastAsia="zh-CN"/>
        </w:rPr>
        <w:t xml:space="preserve">31.According to Paragraph 1, the author’s posts on Twitter </w:t>
      </w:r>
      <w:r>
        <w:rPr>
          <w:rFonts w:hint="eastAsia"/>
          <w:lang w:val="en-US" w:eastAsia="zh-CN"/>
        </w:rPr>
        <w:t>_____</w:t>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[A]illustrated the development of Victorian photography</w:t>
      </w:r>
    </w:p>
    <w:p>
      <w:pPr>
        <w:rPr>
          <w:rFonts w:hint="default"/>
          <w:lang w:val="en-US" w:eastAsia="zh-CN"/>
        </w:rPr>
      </w:pPr>
    </w:p>
    <w:p>
      <w:pPr>
        <w:rPr>
          <w:rFonts w:hint="default"/>
          <w:lang w:val="en-US" w:eastAsia="zh-CN"/>
        </w:rPr>
      </w:pPr>
      <w:r>
        <w:rPr>
          <w:rFonts w:hint="default"/>
          <w:lang w:val="en-US" w:eastAsia="zh-CN"/>
        </w:rPr>
        <w:t>[B]highlighted social media’s role in Victorian studies</w:t>
      </w:r>
    </w:p>
    <w:p>
      <w:pPr>
        <w:rPr>
          <w:rFonts w:hint="default"/>
          <w:lang w:val="en-US" w:eastAsia="zh-CN"/>
        </w:rPr>
      </w:pPr>
    </w:p>
    <w:p>
      <w:pPr>
        <w:rPr>
          <w:rFonts w:hint="default"/>
          <w:lang w:val="en-US" w:eastAsia="zh-CN"/>
        </w:rPr>
      </w:pPr>
      <w:r>
        <w:rPr>
          <w:rFonts w:hint="default"/>
          <w:lang w:val="en-US" w:eastAsia="zh-CN"/>
        </w:rPr>
        <w:t>[C]re-evaluated the Victorian’s notion of public image</w:t>
      </w:r>
    </w:p>
    <w:p>
      <w:pPr>
        <w:rPr>
          <w:rFonts w:hint="default"/>
          <w:lang w:val="en-US" w:eastAsia="zh-CN"/>
        </w:rPr>
      </w:pPr>
    </w:p>
    <w:p>
      <w:pPr>
        <w:rPr>
          <w:rFonts w:hint="default"/>
          <w:lang w:val="en-US" w:eastAsia="zh-CN"/>
        </w:rPr>
      </w:pPr>
      <w:r>
        <w:rPr>
          <w:rFonts w:hint="default"/>
          <w:lang w:val="en-US" w:eastAsia="zh-CN"/>
        </w:rPr>
        <w:t>[D]changed people’s impression of the Victorians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32.What does the author say about the Victorian portraits he has collected?</w:t>
      </w:r>
    </w:p>
    <w:p>
      <w:pPr>
        <w:rPr>
          <w:rFonts w:hint="default"/>
          <w:lang w:val="en-US" w:eastAsia="zh-CN"/>
        </w:rPr>
      </w:pPr>
    </w:p>
    <w:p>
      <w:pPr>
        <w:rPr>
          <w:rFonts w:hint="default"/>
          <w:lang w:val="en-US" w:eastAsia="zh-CN"/>
        </w:rPr>
      </w:pPr>
      <w:r>
        <w:rPr>
          <w:rFonts w:hint="default"/>
          <w:lang w:val="en-US" w:eastAsia="zh-CN"/>
        </w:rPr>
        <w:t>[A]They are rare among photographs of that age.</w:t>
      </w:r>
    </w:p>
    <w:p>
      <w:pPr>
        <w:rPr>
          <w:rFonts w:hint="default"/>
          <w:lang w:val="en-US" w:eastAsia="zh-CN"/>
        </w:rPr>
      </w:pPr>
    </w:p>
    <w:p>
      <w:pPr>
        <w:rPr>
          <w:rFonts w:hint="default"/>
          <w:lang w:val="en-US" w:eastAsia="zh-CN"/>
        </w:rPr>
      </w:pPr>
      <w:r>
        <w:rPr>
          <w:rFonts w:hint="default"/>
          <w:lang w:val="en-US" w:eastAsia="zh-CN"/>
        </w:rPr>
        <w:t>[B]They show effects of different exposure times.</w:t>
      </w:r>
    </w:p>
    <w:p>
      <w:pPr>
        <w:rPr>
          <w:rFonts w:hint="default"/>
          <w:lang w:val="en-US" w:eastAsia="zh-CN"/>
        </w:rPr>
      </w:pPr>
    </w:p>
    <w:p>
      <w:pPr>
        <w:rPr>
          <w:rFonts w:hint="default"/>
          <w:lang w:val="en-US" w:eastAsia="zh-CN"/>
        </w:rPr>
      </w:pPr>
      <w:r>
        <w:rPr>
          <w:rFonts w:hint="default"/>
          <w:lang w:val="en-US" w:eastAsia="zh-CN"/>
        </w:rPr>
        <w:t>[C]They mirror 19th-century social conventions.</w:t>
      </w:r>
    </w:p>
    <w:p>
      <w:pPr>
        <w:rPr>
          <w:rFonts w:hint="default"/>
          <w:lang w:val="en-US" w:eastAsia="zh-CN"/>
        </w:rPr>
      </w:pPr>
    </w:p>
    <w:p>
      <w:pPr>
        <w:rPr>
          <w:rFonts w:hint="default"/>
          <w:lang w:val="en-US" w:eastAsia="zh-CN"/>
        </w:rPr>
      </w:pPr>
      <w:r>
        <w:rPr>
          <w:rFonts w:hint="default"/>
          <w:lang w:val="en-US" w:eastAsia="zh-CN"/>
        </w:rPr>
        <w:t>[D]They are in popular use among historians.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33.What might have kept the Victorians from smiling for pictures in the 1890s?</w:t>
      </w:r>
    </w:p>
    <w:p>
      <w:pPr>
        <w:rPr>
          <w:rFonts w:hint="default"/>
          <w:lang w:val="en-US" w:eastAsia="zh-CN"/>
        </w:rPr>
      </w:pPr>
    </w:p>
    <w:p>
      <w:pPr>
        <w:rPr>
          <w:rFonts w:hint="default"/>
          <w:lang w:val="en-US" w:eastAsia="zh-CN"/>
        </w:rPr>
      </w:pPr>
      <w:r>
        <w:rPr>
          <w:rFonts w:hint="default"/>
          <w:lang w:val="en-US" w:eastAsia="zh-CN"/>
        </w:rPr>
        <w:t>[A]Their inherent social sensitiveness.</w:t>
      </w:r>
    </w:p>
    <w:p>
      <w:pPr>
        <w:rPr>
          <w:rFonts w:hint="default"/>
          <w:lang w:val="en-US" w:eastAsia="zh-CN"/>
        </w:rPr>
      </w:pPr>
    </w:p>
    <w:p>
      <w:pPr>
        <w:rPr>
          <w:rFonts w:hint="default"/>
          <w:lang w:val="en-US" w:eastAsia="zh-CN"/>
        </w:rPr>
      </w:pPr>
      <w:r>
        <w:rPr>
          <w:rFonts w:hint="default"/>
          <w:lang w:val="en-US" w:eastAsia="zh-CN"/>
        </w:rPr>
        <w:t>[B]Their tension before the camera.</w:t>
      </w:r>
    </w:p>
    <w:p>
      <w:pPr>
        <w:rPr>
          <w:rFonts w:hint="default"/>
          <w:lang w:val="en-US" w:eastAsia="zh-CN"/>
        </w:rPr>
      </w:pPr>
    </w:p>
    <w:p>
      <w:pPr>
        <w:rPr>
          <w:rFonts w:hint="default"/>
          <w:lang w:val="en-US" w:eastAsia="zh-CN"/>
        </w:rPr>
      </w:pPr>
      <w:r>
        <w:rPr>
          <w:rFonts w:hint="default"/>
          <w:lang w:val="en-US" w:eastAsia="zh-CN"/>
        </w:rPr>
        <w:t>[C]Their distrust of new inventions.</w:t>
      </w:r>
    </w:p>
    <w:p>
      <w:pPr>
        <w:rPr>
          <w:rFonts w:hint="default"/>
          <w:lang w:val="en-US" w:eastAsia="zh-CN"/>
        </w:rPr>
      </w:pPr>
    </w:p>
    <w:p>
      <w:pPr>
        <w:rPr>
          <w:rFonts w:hint="default"/>
          <w:lang w:val="en-US" w:eastAsia="zh-CN"/>
        </w:rPr>
      </w:pPr>
      <w:r>
        <w:rPr>
          <w:rFonts w:hint="default"/>
          <w:lang w:val="en-US" w:eastAsia="zh-CN"/>
        </w:rPr>
        <w:t>[D]Their unhealthy dental condition.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34.Mark Twain is quoted to show that the disapproval of smiles in pictures was</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[A]a deep-root belief</w:t>
      </w:r>
    </w:p>
    <w:p>
      <w:pPr>
        <w:rPr>
          <w:rFonts w:hint="default"/>
          <w:lang w:val="en-US" w:eastAsia="zh-CN"/>
        </w:rPr>
      </w:pPr>
    </w:p>
    <w:p>
      <w:pPr>
        <w:rPr>
          <w:rFonts w:hint="default"/>
          <w:lang w:val="en-US" w:eastAsia="zh-CN"/>
        </w:rPr>
      </w:pPr>
      <w:r>
        <w:rPr>
          <w:rFonts w:hint="default"/>
          <w:lang w:val="en-US" w:eastAsia="zh-CN"/>
        </w:rPr>
        <w:t>[B]a misguided attitude</w:t>
      </w:r>
    </w:p>
    <w:p>
      <w:pPr>
        <w:rPr>
          <w:rFonts w:hint="default"/>
          <w:lang w:val="en-US" w:eastAsia="zh-CN"/>
        </w:rPr>
      </w:pPr>
    </w:p>
    <w:p>
      <w:pPr>
        <w:rPr>
          <w:rFonts w:hint="default"/>
          <w:lang w:val="en-US" w:eastAsia="zh-CN"/>
        </w:rPr>
      </w:pPr>
      <w:r>
        <w:rPr>
          <w:rFonts w:hint="default"/>
          <w:lang w:val="en-US" w:eastAsia="zh-CN"/>
        </w:rPr>
        <w:t>[C]a controversial view</w:t>
      </w:r>
    </w:p>
    <w:p>
      <w:pPr>
        <w:rPr>
          <w:rFonts w:hint="default"/>
          <w:lang w:val="en-US" w:eastAsia="zh-CN"/>
        </w:rPr>
      </w:pPr>
    </w:p>
    <w:p>
      <w:pPr>
        <w:rPr>
          <w:rFonts w:hint="default"/>
          <w:lang w:val="en-US" w:eastAsia="zh-CN"/>
        </w:rPr>
      </w:pPr>
      <w:r>
        <w:rPr>
          <w:rFonts w:hint="default"/>
          <w:lang w:val="en-US" w:eastAsia="zh-CN"/>
        </w:rPr>
        <w:t>[D]a thought-provoking idea</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35.Which of the following questions does the text answer?</w:t>
      </w:r>
    </w:p>
    <w:p>
      <w:pPr>
        <w:rPr>
          <w:rFonts w:hint="default"/>
          <w:lang w:val="en-US" w:eastAsia="zh-CN"/>
        </w:rPr>
      </w:pPr>
    </w:p>
    <w:p>
      <w:pPr>
        <w:numPr>
          <w:ilvl w:val="0"/>
          <w:numId w:val="0"/>
        </w:numPr>
        <w:rPr>
          <w:rFonts w:hint="default"/>
          <w:lang w:val="en-US" w:eastAsia="zh-CN"/>
        </w:rPr>
      </w:pPr>
      <w:r>
        <w:rPr>
          <w:rFonts w:hint="default"/>
          <w:lang w:val="en-US" w:eastAsia="zh-CN"/>
        </w:rPr>
        <w:t>[A]Why did most Victorians look stern in photographs?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[B]Why did the Victorians start to view photographs?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[C]What made photography develop slowly in the Victorian period?</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[D]How did smiling in photographs become a post-Victorian norm?</w:t>
      </w:r>
    </w:p>
    <w:p>
      <w:pPr>
        <w:numPr>
          <w:ilvl w:val="0"/>
          <w:numId w:val="2"/>
        </w:num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3" w:name="_Toc17155"/>
      <w:r>
        <w:rPr>
          <w:rFonts w:hint="default"/>
          <w:b/>
          <w:lang w:val="en-US" w:eastAsia="zh-CN"/>
        </w:rPr>
        <w:t>Text 4</w:t>
      </w:r>
      <w:bookmarkEnd w:id="3"/>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From the early days of broadband, advocates for consumers and web-based companies worried that the cable and phone companies selling broadband connections had the power and incentive to favor their own or their partners’ websites and services over those of their rivals. That’s why there has been such a strong demand for rules that would prevent broadband providers from picking winners and losers online, preserving the freedom and innovation that have been the lifeblood of the internet.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that demand has been almost impossible to fill — in part because of pushback from broadband providers, anti-regulatory conservatives and the courts. A federal appeals court  weighed in again Tuesday, but instead of providing a badly needed resolution, it only prolonged the fight. At issue before the U.S. Court of Appeals for the District of Columbia Circuit was the latest take of the Federal Communications Commission on net neutrality, adopted on a party-line vote in 2017. The Republican-penned order not only eliminated the strict net neutrality rules the FCC had adopted when it had a Democratic majority in 2015, but rejected the commission’s authority to require broadband providers to do much of anything. The order also declared that  state and local governments couldn’t regulate broadband providers either.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commission argued that other agencies would protect against anti-competitive behavior, such as a broadband-providing conglomerate like AT&amp;T favoring its own video-streaming service at the expense of Netflix and Apple TV. Yet the FCC also ended the investigations of broadband providers that imposed data caps on their rivals’ streaming services but not their own.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Tuesday, the appeals court unanimously upheld the 2017 order deregulating broadband providers, citing a Supreme Court ruling from 2005 that upheld a similarly deregulatory move.  But Judge Patricia Millett rightly argued in a concurring opinion that "the result is unhinged from the realities of modern broadband service," and said Congress or the Supreme Court could intervene to "avoid trapping Internet regulation in technological anachronism."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meantime, the court threw out the FCC’s attempt to block all state rules on net neutrality, while preserving the commission’s power to pre-empt individual state laws that undermine its order. That means more battles like the one now going on between the Justice Department and California, which enacted a tough net neutrality law in the wake of the FCC’s abdication.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t xml:space="preserve">36.There has long been concern that broadband provides would </w:t>
      </w:r>
      <w:r>
        <w:rPr>
          <w:rFonts w:hint="eastAsia"/>
          <w:lang w:val="en-US" w:eastAsia="zh-CN"/>
        </w:rPr>
        <w:t>_____</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[A]bring web-based firms under control</w:t>
      </w:r>
    </w:p>
    <w:p>
      <w:pPr>
        <w:rPr>
          <w:rFonts w:hint="default"/>
          <w:lang w:val="en-US" w:eastAsia="zh-CN"/>
        </w:rPr>
      </w:pPr>
    </w:p>
    <w:p>
      <w:pPr>
        <w:rPr>
          <w:rFonts w:hint="default"/>
          <w:lang w:val="en-US" w:eastAsia="zh-CN"/>
        </w:rPr>
      </w:pPr>
      <w:r>
        <w:rPr>
          <w:rFonts w:hint="default"/>
          <w:lang w:val="en-US" w:eastAsia="zh-CN"/>
        </w:rPr>
        <w:t>[B]slow down the traffic on their network</w:t>
      </w:r>
    </w:p>
    <w:p>
      <w:pPr>
        <w:rPr>
          <w:rFonts w:hint="default"/>
          <w:lang w:val="en-US" w:eastAsia="zh-CN"/>
        </w:rPr>
      </w:pPr>
    </w:p>
    <w:p>
      <w:pPr>
        <w:rPr>
          <w:rFonts w:hint="default"/>
          <w:lang w:val="en-US" w:eastAsia="zh-CN"/>
        </w:rPr>
      </w:pPr>
      <w:r>
        <w:rPr>
          <w:rFonts w:hint="default"/>
          <w:lang w:val="en-US" w:eastAsia="zh-CN"/>
        </w:rPr>
        <w:t>[C]show partiality in treating clients</w:t>
      </w:r>
    </w:p>
    <w:p>
      <w:pPr>
        <w:rPr>
          <w:rFonts w:hint="default"/>
          <w:lang w:val="en-US" w:eastAsia="zh-CN"/>
        </w:rPr>
      </w:pPr>
    </w:p>
    <w:p>
      <w:pPr>
        <w:rPr>
          <w:rFonts w:hint="default"/>
          <w:lang w:val="en-US" w:eastAsia="zh-CN"/>
        </w:rPr>
      </w:pPr>
      <w:r>
        <w:rPr>
          <w:rFonts w:hint="default"/>
          <w:lang w:val="en-US" w:eastAsia="zh-CN"/>
        </w:rPr>
        <w:t>[D]intensify competition with their rivals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37.Faced with the demand for net neutrality rules, the FCC </w:t>
      </w:r>
      <w:r>
        <w:rPr>
          <w:rFonts w:hint="eastAsia"/>
          <w:lang w:val="en-US" w:eastAsia="zh-CN"/>
        </w:rPr>
        <w:t>________</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[A]sticks to an out-of-date order</w:t>
      </w:r>
    </w:p>
    <w:p>
      <w:pPr>
        <w:rPr>
          <w:rFonts w:hint="default"/>
          <w:lang w:val="en-US" w:eastAsia="zh-CN"/>
        </w:rPr>
      </w:pPr>
    </w:p>
    <w:p>
      <w:pPr>
        <w:rPr>
          <w:rFonts w:hint="default"/>
          <w:lang w:val="en-US" w:eastAsia="zh-CN"/>
        </w:rPr>
      </w:pPr>
      <w:r>
        <w:rPr>
          <w:rFonts w:hint="default"/>
          <w:lang w:val="en-US" w:eastAsia="zh-CN"/>
        </w:rPr>
        <w:t>[B]takes an anti-regulatory stance</w:t>
      </w:r>
    </w:p>
    <w:p>
      <w:pPr>
        <w:rPr>
          <w:rFonts w:hint="default"/>
          <w:lang w:val="en-US" w:eastAsia="zh-CN"/>
        </w:rPr>
      </w:pPr>
    </w:p>
    <w:p>
      <w:pPr>
        <w:rPr>
          <w:rFonts w:hint="default"/>
          <w:lang w:val="en-US" w:eastAsia="zh-CN"/>
        </w:rPr>
      </w:pPr>
      <w:r>
        <w:rPr>
          <w:rFonts w:hint="default"/>
          <w:lang w:val="en-US" w:eastAsia="zh-CN"/>
        </w:rPr>
        <w:t>[C]has issued a special resolution</w:t>
      </w:r>
    </w:p>
    <w:p>
      <w:pPr>
        <w:rPr>
          <w:rFonts w:hint="default"/>
          <w:lang w:val="en-US" w:eastAsia="zh-CN"/>
        </w:rPr>
      </w:pPr>
    </w:p>
    <w:p>
      <w:pPr>
        <w:rPr>
          <w:rFonts w:hint="default"/>
          <w:lang w:val="en-US" w:eastAsia="zh-CN"/>
        </w:rPr>
      </w:pPr>
      <w:r>
        <w:rPr>
          <w:rFonts w:hint="default"/>
          <w:lang w:val="en-US" w:eastAsia="zh-CN"/>
        </w:rPr>
        <w:t>[D]has allowed the states to intervene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38.What can be learned about AT&amp;T from Paragraph 3?</w:t>
      </w:r>
    </w:p>
    <w:p>
      <w:pPr>
        <w:rPr>
          <w:rFonts w:hint="default"/>
          <w:lang w:val="en-US" w:eastAsia="zh-CN"/>
        </w:rPr>
      </w:pPr>
    </w:p>
    <w:p>
      <w:pPr>
        <w:rPr>
          <w:rFonts w:hint="default"/>
          <w:lang w:val="en-US" w:eastAsia="zh-CN"/>
        </w:rPr>
      </w:pPr>
      <w:r>
        <w:rPr>
          <w:rFonts w:hint="default"/>
          <w:lang w:val="en-US" w:eastAsia="zh-CN"/>
        </w:rPr>
        <w:t>[A]It protects against unfair competition</w:t>
      </w:r>
    </w:p>
    <w:p>
      <w:pPr>
        <w:rPr>
          <w:rFonts w:hint="default"/>
          <w:lang w:val="en-US" w:eastAsia="zh-CN"/>
        </w:rPr>
      </w:pPr>
    </w:p>
    <w:p>
      <w:pPr>
        <w:rPr>
          <w:rFonts w:hint="default"/>
          <w:lang w:val="en-US" w:eastAsia="zh-CN"/>
        </w:rPr>
      </w:pPr>
      <w:r>
        <w:rPr>
          <w:rFonts w:hint="default"/>
          <w:lang w:val="en-US" w:eastAsia="zh-CN"/>
        </w:rPr>
        <w:t>[B]It engages in anti-competitive practices.</w:t>
      </w:r>
    </w:p>
    <w:p>
      <w:pPr>
        <w:rPr>
          <w:rFonts w:hint="default"/>
          <w:lang w:val="en-US" w:eastAsia="zh-CN"/>
        </w:rPr>
      </w:pPr>
    </w:p>
    <w:p>
      <w:pPr>
        <w:rPr>
          <w:rFonts w:hint="default"/>
          <w:lang w:val="en-US" w:eastAsia="zh-CN"/>
        </w:rPr>
      </w:pPr>
      <w:r>
        <w:rPr>
          <w:rFonts w:hint="default"/>
          <w:lang w:val="en-US" w:eastAsia="zh-CN"/>
        </w:rPr>
        <w:t>[C]It is under the FCC'S investigation.</w:t>
      </w:r>
    </w:p>
    <w:p>
      <w:pPr>
        <w:rPr>
          <w:rFonts w:hint="default"/>
          <w:lang w:val="en-US" w:eastAsia="zh-CN"/>
        </w:rPr>
      </w:pPr>
    </w:p>
    <w:p>
      <w:pPr>
        <w:rPr>
          <w:rFonts w:hint="default"/>
          <w:lang w:val="en-US" w:eastAsia="zh-CN"/>
        </w:rPr>
      </w:pPr>
      <w:r>
        <w:rPr>
          <w:rFonts w:hint="default"/>
          <w:lang w:val="en-US" w:eastAsia="zh-CN"/>
        </w:rPr>
        <w:t>[D]It is in pursuit of quality service.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39.Judge Patricia Millett argues that the appeals court's decision</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[A]focuses on trivialities</w:t>
      </w:r>
    </w:p>
    <w:p>
      <w:pPr>
        <w:rPr>
          <w:rFonts w:hint="default"/>
          <w:lang w:val="en-US" w:eastAsia="zh-CN"/>
        </w:rPr>
      </w:pPr>
    </w:p>
    <w:p>
      <w:pPr>
        <w:rPr>
          <w:rFonts w:hint="default"/>
          <w:lang w:val="en-US" w:eastAsia="zh-CN"/>
        </w:rPr>
      </w:pPr>
      <w:r>
        <w:rPr>
          <w:rFonts w:hint="default"/>
          <w:lang w:val="en-US" w:eastAsia="zh-CN"/>
        </w:rPr>
        <w:t>[B]conveys an ambiguous message</w:t>
      </w:r>
    </w:p>
    <w:p>
      <w:pPr>
        <w:rPr>
          <w:rFonts w:hint="default"/>
          <w:lang w:val="en-US" w:eastAsia="zh-CN"/>
        </w:rPr>
      </w:pPr>
    </w:p>
    <w:p>
      <w:pPr>
        <w:rPr>
          <w:rFonts w:hint="default"/>
          <w:lang w:val="en-US" w:eastAsia="zh-CN"/>
        </w:rPr>
      </w:pPr>
      <w:r>
        <w:rPr>
          <w:rFonts w:hint="default"/>
          <w:lang w:val="en-US" w:eastAsia="zh-CN"/>
        </w:rPr>
        <w:t>[C]is at odds with its earlier rulings</w:t>
      </w:r>
    </w:p>
    <w:p>
      <w:pPr>
        <w:rPr>
          <w:rFonts w:hint="default"/>
          <w:lang w:val="en-US" w:eastAsia="zh-CN"/>
        </w:rPr>
      </w:pPr>
    </w:p>
    <w:p>
      <w:pPr>
        <w:rPr>
          <w:rFonts w:hint="default"/>
          <w:lang w:val="en-US" w:eastAsia="zh-CN"/>
        </w:rPr>
      </w:pPr>
      <w:r>
        <w:rPr>
          <w:rFonts w:hint="default"/>
          <w:lang w:val="en-US" w:eastAsia="zh-CN"/>
        </w:rPr>
        <w:t>[D]is out of touch with reality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40.What does the author argue in the last paragraph?</w:t>
      </w:r>
    </w:p>
    <w:p>
      <w:pPr>
        <w:rPr>
          <w:rFonts w:hint="default"/>
          <w:lang w:val="en-US" w:eastAsia="zh-CN"/>
        </w:rPr>
      </w:pPr>
    </w:p>
    <w:p>
      <w:pPr>
        <w:rPr>
          <w:rFonts w:hint="default"/>
          <w:lang w:val="en-US" w:eastAsia="zh-CN"/>
        </w:rPr>
      </w:pPr>
      <w:r>
        <w:rPr>
          <w:rFonts w:hint="default"/>
          <w:lang w:val="en-US" w:eastAsia="zh-CN"/>
        </w:rPr>
        <w:t>[A]Congress needs to take action to ensure net neutrality.</w:t>
      </w:r>
    </w:p>
    <w:p>
      <w:pPr>
        <w:rPr>
          <w:rFonts w:hint="default"/>
          <w:lang w:val="en-US" w:eastAsia="zh-CN"/>
        </w:rPr>
      </w:pPr>
    </w:p>
    <w:p>
      <w:pPr>
        <w:rPr>
          <w:rFonts w:hint="default"/>
          <w:lang w:val="en-US" w:eastAsia="zh-CN"/>
        </w:rPr>
      </w:pPr>
      <w:r>
        <w:rPr>
          <w:rFonts w:hint="default"/>
          <w:lang w:val="en-US" w:eastAsia="zh-CN"/>
        </w:rPr>
        <w:t>[B]The FCC should be put under strict supervision.</w:t>
      </w:r>
    </w:p>
    <w:p>
      <w:pPr>
        <w:rPr>
          <w:rFonts w:hint="default"/>
          <w:lang w:val="en-US" w:eastAsia="zh-CN"/>
        </w:rPr>
      </w:pPr>
    </w:p>
    <w:p>
      <w:pPr>
        <w:rPr>
          <w:rFonts w:hint="default"/>
          <w:lang w:val="en-US" w:eastAsia="zh-CN"/>
        </w:rPr>
      </w:pPr>
      <w:r>
        <w:rPr>
          <w:rFonts w:hint="default"/>
          <w:lang w:val="en-US" w:eastAsia="zh-CN"/>
        </w:rPr>
        <w:t>[C]Rules need to be set to diversify online services.</w:t>
      </w:r>
    </w:p>
    <w:p>
      <w:pPr>
        <w:rPr>
          <w:rFonts w:hint="default"/>
          <w:lang w:val="en-US" w:eastAsia="zh-CN"/>
        </w:rPr>
      </w:pPr>
    </w:p>
    <w:p>
      <w:pPr>
        <w:rPr>
          <w:rFonts w:hint="default"/>
          <w:lang w:val="en-US" w:eastAsia="zh-CN"/>
        </w:rPr>
      </w:pPr>
      <w:r>
        <w:rPr>
          <w:rFonts w:hint="default"/>
          <w:lang w:val="en-US" w:eastAsia="zh-CN"/>
        </w:rPr>
        <w:t>[D]Broadband providers' rights should be protected.</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4" w:name="_Toc19830"/>
      <w:r>
        <w:rPr>
          <w:rFonts w:hint="eastAsia"/>
          <w:b/>
          <w:lang w:val="en-US" w:eastAsia="zh-CN"/>
        </w:rPr>
        <w:t>TEXT5</w:t>
      </w:r>
      <w:bookmarkEnd w:id="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group of Labour MPs, among them Yvette Cooper, are bringing in the new year with a call to institute a UK “town of culture” award. The proposal is that it should sit alongside the existing city of culture title, which was held by Hull in 2017, and has been awarded to Coventry for 2021. Cooper and her colleagues argue that the success of the crown for Hull, where it brought in £220m of investment and an avalanche of arts, ought not to be confined to cities. Britain’s towns, it is true, are not prevented from applying, but they generally lack the resources to put together a bid to beat their bigger competitors. A town of culture award could, it is argued, become an annual event, attracting funding and creating jobs.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Some might see the proposal as a booby prize for the fact that Britain  is no longer able to apply for the much more prestigious title of European capital of culture, a sought-after award bagged by Glasgow in 1990 and Liverpool in 2008. A cynic might speculate that the UK is on the verge of disappearing into an endless fever of self-celebration in its desperation to reinvent itself for the post-Brexit world: after  town of culture, who knows what will follow-village of culture? Suburb of culture? Hamlet of culture?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It is also wise to recall that such titles are not a cure-all. A badly run “year of culture” washes in and washes out of a place like the tide, bringing prominence for a spell but leaving no lasting benefits to the community. The really successful  holders of such titles are those that do a great deal more than fill hotel bedrooms and bring in high-profile arts events and good press for a year. They transform the aspirations of the people who live there; they nudge the self-image of the city into a bolder and  more optimistic light. It is hard to get right, and requires a remarkable degree of vision, as well as cooperation between city authorities, the private sector, community groups and cultural organisations. But it can be done: Glasgow's year as European capital of culture can certainly be seen as one of a complex series of factors that have turned the city into the powerhouse of art, music and theatre that it remains today.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“town of culture” could be not just about the arts but about honouring a town’s peculiarities—helping  sustain its high street, supporting  local facilities and above all celebrating its people. Jeremy Wright, the culture secretary, should welcome this positive, hope-filled proposal, and turn it into action.</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w:t>
      </w:r>
      <w:r>
        <w:rPr>
          <w:rFonts w:hint="default"/>
          <w:lang w:val="en-US" w:eastAsia="zh-CN"/>
        </w:rPr>
        <w:tab/>
      </w:r>
      <w:r>
        <w:rPr>
          <w:rFonts w:hint="default"/>
          <w:lang w:val="en-US" w:eastAsia="zh-CN"/>
        </w:rPr>
        <w:t>Cooper and her colleagues argue that a “town of culture” award could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consolidate the town-city ties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promote cooperation-among Britain’s towns.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increase the economic strength of Britain’s towns.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focus Britain’s limited resources on cultural events.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t>
      </w:r>
      <w:r>
        <w:rPr>
          <w:rFonts w:hint="default"/>
          <w:lang w:val="en-US" w:eastAsia="zh-CN"/>
        </w:rPr>
        <w:tab/>
      </w:r>
      <w:r>
        <w:rPr>
          <w:rFonts w:hint="default"/>
          <w:lang w:val="en-US" w:eastAsia="zh-CN"/>
        </w:rPr>
        <w:t>According to Paragraph 2, the proposal might be regarded by some 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sensible compromise.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self-deceiving attempt.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an eye-catching bonus.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an inaccessible target.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w:t>
      </w:r>
      <w:r>
        <w:rPr>
          <w:rFonts w:hint="default"/>
          <w:lang w:val="en-US" w:eastAsia="zh-CN"/>
        </w:rPr>
        <w:tab/>
      </w:r>
      <w:r>
        <w:rPr>
          <w:rFonts w:hint="default"/>
          <w:lang w:val="en-US" w:eastAsia="zh-CN"/>
        </w:rPr>
        <w:t>The author suggests that a title holder is successful only if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endeavours to maintain its image.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meets the aspiration of its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brings its local arts to prominence.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commits to its long-term growth.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w:t>
      </w:r>
      <w:r>
        <w:rPr>
          <w:rFonts w:hint="default"/>
          <w:lang w:val="en-US" w:eastAsia="zh-CN"/>
        </w:rPr>
        <w:tab/>
      </w:r>
      <w:r>
        <w:rPr>
          <w:rFonts w:hint="default"/>
          <w:lang w:val="en-US" w:eastAsia="zh-CN"/>
        </w:rPr>
        <w:t>Glasgow is mentioned in Paragraph 3 to present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contrasting case.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supporting example.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 xml:space="preserve">a background story.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 related topic.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t>
      </w:r>
      <w:r>
        <w:rPr>
          <w:rFonts w:hint="default"/>
          <w:lang w:val="en-US" w:eastAsia="zh-CN"/>
        </w:rPr>
        <w:tab/>
      </w:r>
      <w:r>
        <w:rPr>
          <w:rFonts w:hint="default"/>
          <w:lang w:val="en-US" w:eastAsia="zh-CN"/>
        </w:rPr>
        <w:t>What is the author’s attitude towards the proposal?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Skeptical.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Objective.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Favourable.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Critical.</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 C B D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spacing w:after="549" w:afterLines="175" w:afterAutospacing="0"/>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p>
    <w:p>
      <w:pPr>
        <w:pStyle w:val="2"/>
        <w:bidi w:val="0"/>
        <w:rPr>
          <w:rFonts w:hint="default"/>
          <w:b/>
          <w:lang w:val="en-US" w:eastAsia="zh-CN"/>
        </w:rPr>
      </w:pPr>
      <w:bookmarkStart w:id="5" w:name="_Toc32698"/>
      <w:r>
        <w:rPr>
          <w:rFonts w:hint="eastAsia"/>
          <w:b/>
          <w:lang w:val="en-US" w:eastAsia="zh-CN"/>
        </w:rPr>
        <w:t>TEXT6</w:t>
      </w:r>
      <w:bookmarkEnd w:id="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Scientific publishing has long been a licence to print money. Scientists need journals in which to publish their research, so they will supply the articles without monetary reward. Other scientists perform the specialised work of peer review also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for free, because it is a central element in the acquisition of status and the production of scientific knowledge.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 the content of papers secured for free, the publisher needs only find a market for its journal. Until this century, university libraries were not very price sensitive. Scientific publishers routinely report profit margins approaching 40% on their operations at a time when the rest of the publishing industry is in an existential crisis.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Dutch giant Elsevier, which claims to publish 25% of the scientific papers produced in the world, made profits of more than £900m last year, while UK universities alone spent more than £210m in 2016 to enable researchers to access      their own publicly funded research; both figures seem to rise unstoppably despite increasingly desperate efforts to change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most drastic, an thoroughly illegal, reaction has been the emergence of Sci-Hub, a kind of global photocopier for scientific papers, set up in 2012, which now claims to offer access to every paywalled article published since 2015. The success of Sci-Hub, which relies on researchers passing on copies they have themselves legally accessed, shows the legal ecosystem has lost legitimacy among its users and must be transformed so that it works for all participants.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Britain the move towards open access publishing has been driven by funding bodies. In some ways it has been very successful. More than half of all British</w:t>
      </w:r>
      <w:r>
        <w:rPr>
          <w:rFonts w:hint="eastAsia"/>
          <w:lang w:val="en-US" w:eastAsia="zh-CN"/>
        </w:rPr>
        <w:t xml:space="preserve"> </w:t>
      </w:r>
      <w:r>
        <w:rPr>
          <w:rFonts w:hint="default"/>
          <w:lang w:val="en-US" w:eastAsia="zh-CN"/>
        </w:rPr>
        <w:t>scientific research is now published under open access terms: either freely available from the moment of publication, or paywalled for a year or more so that the publishers can make a profit before being placed on general release.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the new system has not yet worked out any cheaper for the universities. Publishers have responded to the demand that they make their product free to readers by charging their writers fees to cover the costs of prep ring an article. These range   from around £500 to $5,000, and apparently the work gets more expensive the more  that publishers do it. A report last year pointed out that the costs both of subscriptions and of these “article preparation costs” had been steadily rising at a rate above inflation.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some ways the scientific publishing model resembles the economy of the social internet: labour is provided free in exchange for the hope of status, while huge profits are made by a few big firms who run the market places. In both cases, we need a rebalancing of power.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Scientific publishing is seen as “a licence to print money” partly because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funding has enjoyed a steady increase.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marketing strategy has been successful.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payment for peer review is reduced.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content acquisition costs nothing.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Paragraphs 2 and 3, scientific publishers Elsevier have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thrived mainly on university libraries.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gone through an existential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revived the publishing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financed researchers generously.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 How does the author feel about the success of Sci-Hub?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Relieved.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Puzzled.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Concerned.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Encouraged.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It can be learned from Paragraphs 5 and 6 that open access terms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 publishers some room to make money.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render publishing much easier for scientists.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reduce the cost of publication substantially.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free universities from financial burdens.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characterizes the scientific publishing model?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Trial subscription is offered.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Labour triumphs over status.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Costs are well controlled.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few feed on the many.</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ind w:firstLine="420" w:firstLineChars="200"/>
        <w:rPr>
          <w:rFonts w:hint="default"/>
          <w:lang w:val="en-US" w:eastAsia="zh-CN"/>
        </w:rPr>
      </w:pPr>
    </w:p>
    <w:p>
      <w:pPr>
        <w:pStyle w:val="2"/>
        <w:bidi w:val="0"/>
        <w:rPr>
          <w:rFonts w:hint="default"/>
          <w:b/>
          <w:lang w:val="en-US" w:eastAsia="zh-CN"/>
        </w:rPr>
      </w:pPr>
      <w:bookmarkStart w:id="6" w:name="_Toc27653"/>
      <w:r>
        <w:rPr>
          <w:rFonts w:hint="eastAsia"/>
          <w:b/>
          <w:lang w:val="en-US" w:eastAsia="zh-CN"/>
        </w:rPr>
        <w:t>TEXT7</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Progressives often support diversity mandates as a path to equality and a way to level the playing field. But all too often such policies are an insincere form of virtue-signaling that benefits only the most privileged and does little to help average people.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pair of bills sponsored by Massachusetts state Senator Jason Lewis and House Speaker Pro Tempore Patricia Haddad, to ensure “gender parity” on boards and commissions, provide a case in point.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Haddad and Lewis are concerned that more than half the state-government  boards are less than 40 percent female. In order to ensure that elite women have more   such opportunities, they have proposed imposing government quotas. If the bills</w:t>
      </w:r>
      <w:r>
        <w:rPr>
          <w:rFonts w:hint="eastAsia"/>
          <w:lang w:val="en-US" w:eastAsia="zh-CN"/>
        </w:rPr>
        <w:t xml:space="preserve"> </w:t>
      </w:r>
      <w:r>
        <w:rPr>
          <w:rFonts w:hint="default"/>
          <w:lang w:val="en-US" w:eastAsia="zh-CN"/>
        </w:rPr>
        <w:t>become law, state boards and commissions will be required to set aside 50 percent of board seats for women by 2022.</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bills are similar to a measure recently adopted in Califomia, which last year became the first state to require gender quotas for private companies. In signing the measure, California Governor Jerry Brown admitted that the law, which expressly classifies people on the basis of sex, is probably unconstitutional.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 Supreme Court frowns on sex-based classifications unless they are designed to address an “important” policy interest, Because the California law applies to all boards, even where there is no history of prior discrimination, courts are likely to rule that the law violates the constitutional guarantee of “equal protection”.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are such government mandates even necessary? Female participation on corporate boards may not currently mirror the percentage of women in the general population, but so what?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number of women on corporate boards has been steadily increasing without government interference. According to a study by Catalyst, between 2010 and 2015 the share of women on the boards of global corporations increased by 54 percent.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Requiring companies to make gender the primary qualification for board  membership will inevitably lead to less experienced private sector boards. That is exactly what happened when Norway adopted a nationwide corporate gender quota.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Writing in The New Republic, Alice Lee notes that increasing the number of opportunities for board membership without increasing the pool of qualified women to serve on such boards has led to a “golden skirt” phenomenon, where the same elite women scoop up multiple seats on a variety of boards.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Next time somebody pushes corporate quotas as a way to promote gender equity, remember that such policies are largely self-serving measures that make their sponsors feelgood but do little to help average women.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31.The author believes that the bills sponsored by Lewis and Haddad will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 little to reduce gender bias.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pose a threat to the state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raise women’s position in politics.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greatly broaden career options.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Which of the following is true of the Califormia measure?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has irritated private business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welcomed by the Supreme Court.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may go against the Constitution.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will settle the prior controversies.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mentions the study by Catalyst to illustrate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harm from arbitrary board decision.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importance of constitutional guarantees.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pressure on women in global corporations.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needlessness of government interventions.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Norway’s adoption of a nationwide corporate gender quota has led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underestimation of elite women’s role.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objection to female participation on boards.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entry of unqualified candidates into the board.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growing tension between labor and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can be inferred from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Women’s need in employment should be considered.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Feasibility should be a prime concern in policymaking.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Everyone should try hard to promote social justice.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Major social issues should be the focus of legislation.</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pPr>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7" w:name="_Toc30219"/>
      <w:r>
        <w:rPr>
          <w:rFonts w:hint="eastAsia"/>
          <w:b/>
          <w:lang w:val="en-US" w:eastAsia="zh-CN"/>
        </w:rPr>
        <w:t>TEXT8</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Thursday, the French Senate passed a digital services tax, which would  impose an entirely new tax on large multinationals that provide digital services to consumers or users in France. Digital services include everything from providing a platform for selling goods and services online to targeting advertising based on user   data, and the tax applies to gross revenue from such services. Many French politicians and media outlets have referred to this as a “ GAFA tax,” meaning that it is designed  to apply primarily to companies such as Google, Apple, Facebook and  Amazon—in other words, multinational tech companies based in the United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digital services tax now awaits the signature of President Emmanuel Macron, who has expressed support for the measure, and it could go into effect within the next few weeks. But it has already sparked significant controversy, with the United States trade representative opening an investigation into whether the tax discriminates against American companies, which in tum could lead to trade sanctions against France.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The French tax is not just a unilateral move by one country in need of revenue.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Instead, the digital services tax is part of a much larger trend, with countries over the past few years proposing or putting in place an alphabet soup of new international tax provisions. They have included Britain’s DPT. (diverted profits tax), Australia’s MAAL (multinational anti-avoidance law), and India’s  SEP  (significant economic presence) test, to name but a few. At the same time, the European Union, Spain, Britain and several other countries have all seriously contemplated digital services taxes.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These unilateral developments differ in their specifics, but they are all designed to tax multinationals on income and revenue that countries believe they should have a right to tax, even if international tax rules do not grant them that right. In other words, they all share a view that the international tax system has failed to keep up with the current economy.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response to these many unilateral measures, the Organization for Economic Cooperation and Development (OECD) is currently working with 131 countries to reach a consensus by the end of 2020 on an international solution. Both France and  the United States are involved in the organization's work, but France's digital services tax and the American response raise questions about what the future holds for the international tax system.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France’s planned tax is a clear warning: Unless a broad consensus can be reached on reforming the international tax system, other nations are likely to follow suit, and American companies will face a cascade of different taxes from dozens of nations that will prove burdensome and costly.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French Senate has passed a bill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regulate digital services platforms.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protect French companies”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impose a levy on tech multinationals.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curb the influence of advertising.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from Paragraph 2 that the digital services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may trigger countermeasures against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is apt to arouse criticism at home and abroad.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aims to ease international trade tensions.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will prompt the tech giants to quit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countries adopting the unilateral measures share the opinion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redistribution of tech giants’ revenue must be ensured.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the current international tax system needs upgrading.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tech multinationals’ monopoly should be prevented.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all countries ought to enjoy equal taxing rights.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learned from Paragraph 5 that the OECD’s current 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is being resisted  by  US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needs to be readjusted immediately.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is faced with uncertain prospects.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needs to in involve more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might be the best title for this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France Is Confronted with Trade Sanctions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France leads the charge on Digital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France Says “ NO ” to Tech Multinationals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France Demands a Role in the Digital Economy</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8" w:name="_Toc8883"/>
      <w:r>
        <w:rPr>
          <w:rFonts w:hint="eastAsia"/>
          <w:b/>
          <w:lang w:val="en-US" w:eastAsia="zh-CN"/>
        </w:rPr>
        <w:t>TEXT9</w:t>
      </w:r>
      <w:bookmarkEnd w:id="8"/>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Financial regulators in Britain have imposed a rather unusual rule on the bosses of big banks. Starting next year, any guaranteed bonus of top executives could be delayed 10 years if their banks are under investigation for wrongdoing. The main purpose of this “clawback” rule is to hold bankers accountable for harmful risk-taking and to restore public trust in financial institutions. Yet officials also hope for a much larger benefit: more long-term decisionmaking, not only by banks but by all corporations, to build a stronger economy for future generations.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“Short-termism” or the desire for quick profits, has worsened in publicly traded companies, says the Bank of England’s top economist, Andrew Haldane. He quotes a giant of classical economics, Alfred Marshall, in describing this financial impatience as acting like “children who pick the plums out of their pudding to eat them at once” rather than putting them aside to be eaten last.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average time for holding a stock in both the United States and Britain, he notes, has dropped from seven years to seven months in recent decades. Transient investors, who demand high quarterly profits from companies, can hinder a firm’s efforts to invest in long-term research or to build up customer loyalty. This has been dubbed “quarterly capitalism.”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addition, new digital technologies have allowed more rapid trading of equities, quicker use of information, and thus shorter attention spans in financial markets. “There seems to be a predominance of short-term thinking at the  expense  of long-term investing,” said Commissioner Daniel Gallagher of the US Securities and Exchange Commission in a speech this week.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US, the Sarbanes-Oxley Act of 2002 has pushed most public companies to defer performance bonuses for senior executives by about a year, slightly helping reduce “short-termism.” In its latest survey of CEO pay, The Wall Street Journal finds that “a substantial part” of executive pay is now tied to performance.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Much more could be done to encourage “long-termism,” such as changes in the tax code and quicker disclosure of stock acquisitions. In France, shareholders who hold onto a company investment for at least two years can sometimes earn more voting rights in a company.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Within companies, the right compensation design can provide incentives for executives to think beyond their own time at the company and on behalf of all stakeholders. Britain’s new rule is a reminder to bankers that society has an interest in their performance, not just for the short term but for the long term.</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21.According to Paragraph 1, one motive in imposing the new rule is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[A]enhance bankers’ sense of responsibility.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[B]help corporations achieve larger profits.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[C]build a new system of financial regulation.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[D]guarantee the bonuses of top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22.Alfred Marshall is quoted to indicate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conditions for generating quick profits.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[B]governments’ impatience in decision-making.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solid structure of publicly traded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[D]“short-termism” in economic activities.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23.It is argued that the influence of transient investment on public companies can be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[A]indirect.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[B]adverse.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[C]minimal.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[D]temporary.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24.The US and France examples are used to illustrate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obstacles to preventing “short-termism”.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significance of long-term thinking.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approaches to promoting “long-termism”.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prevalence of short-term thinking.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[A]Failure of Quarterly Capitalism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[B]Patience as a Corporate Virtue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[C]Decisiveness Required of Top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[D]Frustration of Risk-taking Bankers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 xml:space="preserve"> 阅读答案：A D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9" w:name="_Toc22075"/>
      <w:r>
        <w:rPr>
          <w:rFonts w:hint="eastAsia"/>
          <w:b/>
          <w:lang w:val="en-US" w:eastAsia="zh-CN"/>
        </w:rPr>
        <w:t>TEXT10</w:t>
      </w:r>
      <w:bookmarkEnd w:id="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inflation – the gradual increase in average GPAs (grade-point averages) over the past few decades – is often considered a product of a consumer era in higher education, in which students are treated like customers to be pleased. But another, related force – a policy often buried deep in course catalogs called “grade forgiveness” – is helping raise GPAs.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forgiveness allows students to retake a course in which they received a low grade, and the most recent grade or the highest grade is the only one that counts  in calculating a student’s overall GPA.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use of this little-known practice has accelerated in recent years, as colleges continue to do their utmost to keep students in school (and paying tuition) and improve their graduation rates. When this practice first started decades ago, it was usually limited to freshmen, to give them a second chance to take a class in their first year if they struggled in their transition to college-level courses. But now most colleges, save for many selective campuses, allow all undergraduates, and even graduate students, to get their low grades forgiven.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College officials tend to emphasize that the goal of grade forgiveness is less about the grade itself and more about encouraging students to retake courses critical  to their degree program and graduation without incurring a big penalty. “Ultimately,” said Jack Miner, Ohio State University’s registrar, “we see students achieve more success because they retake a course and do better in subsequent courses or master  the content that allows them to graduate on time.”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 said, there is a way in which grade forgiveness satisfies colleges’ own needs as well. For public institutions, state funds are sometimes tied partly to their success on metrics such as graduation rates and student retention – so better grades can, by boosting figures like those, mean more money. And anything that  raises  GPAs  will  likely  make students – who, at the end of the day, are paying the bill – feel they’ve gotten a better value for their tuition dollars, which is another big concern for colleges.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Indeed, grade forgiveness is just another way that universities are responding to consumers’ expectations for higher education. Since students and parents expect a college degree to lead to a job, it is in the best interest of a school to turn out  graduates who are as qualified as possible – or at least appear to be. On this, students’ and colleges’ incentives seem to be aligned.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26.What is commonly regarded as the cause of grade inflation?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change of course catalogs.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[B]Students’ indifference to GPAs.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[C]Colleges’ neglect of GPAs.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influence of consumer 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27.What was the original purpose of grade forgiveness?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help freshmen adapt to college learning.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maintain colleges’ graduation rates.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prepare graduates for a challenging future.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increase universities’ income from tuition.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28.According to Paragraph 5, grade forgiveness enables colleges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[A]obtain more financial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[B]boost their student enrollments.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their teaching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[D]meet local governments’ needs.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does the phrase “to be aligned” (Line 5, Para. 6) most probably mean?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counterbalance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complement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be identical with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be contradictory to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30.The author examines the practice of grade forgiveness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[A]assessing its feasibility.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[B]analyzing the causes behind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[C]comparing different views on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[D]listing its long-run effects.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阅读答案：D A A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lang w:val="en-US" w:eastAsia="zh-CN"/>
        </w:rPr>
      </w:pPr>
      <w:bookmarkStart w:id="10" w:name="_Toc532"/>
      <w:r>
        <w:rPr>
          <w:rFonts w:hint="eastAsia"/>
          <w:lang w:val="en-US" w:eastAsia="zh-CN"/>
        </w:rPr>
        <w:t>TEXT11</w:t>
      </w:r>
      <w:bookmarkEnd w:id="1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This year marks exactly two centuries since the publication of “Frankenstein; or, The Modern Prometheus,” by Mary Shelley. Even before the invention of the electric light bulb, the author produced a remarkable work of speculative fiction that would foreshadow many ethical questions to be raised by technologies yet to come.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Today the rapid growth of artificial intelligence (AI) raises fundamental questions: “What is intelligence, identity, or consciousness? What makes humans humans?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What is being called artificial general intelligence, machines that would imitate the way humans think, continues to evade scientists. Yet humans remain fascinated by the idea of robots that would look, move, and respond like humans, similar to those recently depicted on popular sci-fi TV series such as “Westworld” and “Humans.”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 how people think is still far too complex to be understood, let alone reproduced, says David Eagleman, a Stanford University neuroscientist. “We are just in a situation where there are no good theories explaining what consciousness actually is and how you could ever build a machine to get there.”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that doesn’t mean crucial ethical issues involving AI aren’t at hand. The coming use of autonomous vehicles, for example, poses thorny ethical questions. Human drivers sometimes must make split-second decisions. Their reactions may be  a complex combination of instant reflexes, input from past driving experiences, and what their eyes and ears tell them in that moment. AI “vision” today is not nearly as sophisticated as that of humans. And to anticipate every imaginable driving situation is a difficult programming problem.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Whenever decisions are based on masses of data, “you quickly get into a lot of ethical questions,” notes Tan Kiat How, chief executive of a Singapore-based agency that is helping the government develop a voluntary code for the ethical use of AI. Along with Singapore, other governments and mega-corporations are beginning to establish their own guidelines. Britain is setting up a data ethics center. India released its AI ethics strategy this spring.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June 7 Google pledged not to “design or deploy AI” that would cause “overall harm,” or to develop AI-directed weapons or use AI for surveillance that would violate international norms. It also pledged not to deploy AI whose use would violate international laws or human rights.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While the statement is vague, it represents one starting point. So does the idea that decisions made by AI systems should be explainable, transparent, and fair.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 put it another way: How can we make sure that the thinking of intelligent machines reflects humanity’s highest values? Only then will they be useful servants and not Frankenstein’s out-of-control monster.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31.Mary Shelley’s novel Frankenstein is mentioned because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[A]fascinates AI scientists all over the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[B]has remained popular for as long as 200 years.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[C]involves some concerns raised by AI today.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sparked serious ethical controversies.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32.In David Eagleman’s opinion, our current knowledge of consciousness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[A]helps explain artificial intelligence.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misleading to robot 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[C]inspires popular sci-fi TV series.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[D]is too limited for us to reproduce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33.The solution to the ethical issues brought by autonomous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hardly ever be found.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[B]is still beyond our capacity.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[C]causes little public concern.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aroused much curiosity.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author’s attitude toward Google’s pledges is one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[A]affirmation.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[B]skepticism.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[C]contempt.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[D]respect.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[A]AI’s Future: In the Hands of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[B]Frankenstein, the Novel Predicting the Age of AI</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Conscience of AI: Complex But Inevitable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[D]AI Shall Be Killers Once Out of Control</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B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11" w:name="_Toc4714"/>
      <w:r>
        <w:rPr>
          <w:rFonts w:hint="eastAsia"/>
          <w:b/>
          <w:lang w:val="en-US" w:eastAsia="zh-CN"/>
        </w:rPr>
        <w:t>TEXT12</w:t>
      </w:r>
      <w:bookmarkEnd w:id="1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States will be able to force more people to pay sales tax when they make online purchases under a Supreme Court decision Thursday that will leave shoppers with lighter wallets but is a big financial win for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Supreme Court’s opinion Thursday overruled a pair of decades-old decisions that states said cost them billions of dollars in lost revenue annually. The decisions made it more difficult for states to collect sales tax on certain online purchases.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cases the court overturned said that if a business was shipping a customer’s purchase to a state where the business didn’t have a physical presence such as a warehouse or office, the business didn’t have to collect sales tax for the state. Customers were generally responsible for paying the sales tax to the state themselves if they weren’t charged it, but most didn’t realize they owed it and few paid.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Justice Anthony Kennedy wrote that the previous decisions were flawed. “Each year the physical presence rule becomes further removed from economic reality and results in significant revenue losses to the States,” he wrote in an opinion joined by four other justices. Kennedy wrote that the rule “limited states’ ability to seek long-term prosperity and has prevented market participants from competing on an even playing field.”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ruling is a victory for big chains with a presence in many states, since they usually collect sales tax on online purchases already. Now, rivals will be charging sales tax where they hadn’t before. Big chains have been collecting sales tax nationwide because they typically have physical stores in whatever state a purchase is being shipped to. Amazon.com, with its network of warehouses, also collects sales tax in every state that charges it, though third-party sellers who use the site don’t have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Until now, many sellers that have a physical presence in only a single state or a few states have been able to avoid charging sales taxes when they ship to addresses outside those states. Sellers that use eBay and Etsy, which provide platforms for smaller sellers, also haven’t been collecting sales tax nationwide. Under the ruling Thursday, states can pass laws requiring out-of-state sellers to collect the state’s sales tax from customers and send it to the state.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Retail trade groups praised the ruling, saying it levels the playing field for local and online businesses. The losers, said retail analyst Neil Saunders, are online-only retailers, especially smaller ones. Those retailers may face headaches complying with various state sales tax laws. The Small Business &amp; Entrepreneurship Council advocacy group said in a statement, “Small businesses and internet entrepreneurs are not well served at all by this decision.”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Supreme Court decision Thursday will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[A]better businesses’ relations with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[B]put most online businesses in a dilemma.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[C]make more online shoppers pay sales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[D]force some states to cut sales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37.It can be learned from paragraphs 2 and 3 that the overruled decisions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[A]have led to the dominance of e-commerce.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[B]have cost consumers a lot over the years.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[C]were widely criticized by online purchasers.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[D]were considered unfavorable by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38.According to Justice Anthony Kennedy, the physical presence rule has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[A]hindered economic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[B]brought prosperity to the country.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[C]harmed fair market competition.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[D]boosted growth in states’ revenue.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39.Who are most likely to welcome the Supreme Court ruling?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[A]Internet entrepreneurs.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[B]Big-chain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[C]Third-party sellers.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[D]Small retailers.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40.In dealing with the Supreme Court decision Thursday, the author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[A]gives a factual account of it and discusses its consequences.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[B]describes the long and complicated process of its 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[C]presents its main points with conflicting views on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[D]cites some cases related to it and analyzes their implications.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b/>
          <w:lang w:val="en-US" w:eastAsia="zh-CN"/>
        </w:rPr>
      </w:pPr>
      <w:bookmarkStart w:id="12" w:name="_Toc12343"/>
      <w:r>
        <w:rPr>
          <w:rFonts w:hint="eastAsia"/>
          <w:b/>
          <w:lang w:val="en-US" w:eastAsia="zh-CN"/>
        </w:rPr>
        <w:t>TEXT13</w:t>
      </w:r>
      <w:bookmarkEnd w:id="12"/>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①Among the annoying challenges facing the middle class is one that will probably go unmentioned in the next presidential campaign: What happens when the robots come for their jobs?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①Don't dismiss that possibility entirely. ②About half of U.S. jobs are at high risk of being automated, according to a University of Oxford study, with the middle class disproportionately squeezed. ③Lower-income jobs like gardening or day care don't appeal to robots. ④But many middle-class occupations—trucking, financial advice, software engineering—have aroused their interest, or soon will. ⑤The rich own the robots, so they will be fine.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isn't to be alarmist. ②Optimists point out that technological upheaval has benefited workers in the past. ③The Industrial Revolution didn't go so well for Luddites whose jobs were displaced by mechanized looms, but it eventually raised living standards and created more jobs than it destroyed. ④Likewise, automation should eventually boost productivity, stimulate demand by driving down prices, and free workers from hard, boring work. ⑤But in the medium term, middle-class workers may need a lot of help adjusting.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first step, as Erik Brynjolfsson and Andrew McAfee argue in The Second Machine Age, should be rethinking education and job training. ②Curriculums—from grammar school to college—should evolve to focus less on memorizing facts and more on creativity and complex communication. ③Vocational schools should do a better job of fostering problem-solving skills and helping students work alongside robots. ④Online education can supplement the traditional kind. ⑤It could make extra training and instruction affordable. ⑥Professionals trying to acquire new skills will be able to do so without going into debt.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challenge of coping with automation underlines the need for the U.S. to revive its fading business dynamism: Starting new companies must be made easier. ②In previous eras of drastic technological change, entrepreneurs smoothed the transition by dreaming up ways to combine labor and machines. ③The best uses of 3D printers and virtual reality haven't been invented yet. ④The U.S. needs the new companies that will invent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①Finally, because automation threatens to widen the gap between capital income and labor income, taxes and the safety net will have to be rethought. ②Taxes on low-wage labor need to be cut, and wage subsidies such as the earned income tax credit should be expanded: This would boost incomes, encourage work, reward companies for job creation, and reduce inequality.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①Technology will improve society in ways big and small over the next few years, yet this will be little comfort to those who find their lives and careers upended by automation. ②Destroying the machines that are coming for our jobs would be nuts. ③But policies to help workers adapt will be indispensable.</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Who will be most threatened by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Leading politicians.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Low-wage laborers.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Robot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Middle-class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best represents the author’s view?</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Worries about automation are in fact groundless.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Optimists’ opinions on new tech find little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Issues arising from automation need to be tackled.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Negative consequences of new tech can be avoided.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Education in the age of automation should put more emphasis 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creative potential.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job-hunting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individual needs.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cooperative spirit.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author suggests that tax policies be aimed 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encouraging the development of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increasing the return on capital investment.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easing the hostility between rich and poor.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preventing the income gap from widening.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In this text, the author presents a problem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opposing views on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possible solutions to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alarming impacts.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major variations.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3" w:name="_Toc2833"/>
      <w:r>
        <w:rPr>
          <w:rFonts w:hint="eastAsia"/>
          <w:b/>
          <w:lang w:val="en-US" w:eastAsia="zh-CN"/>
        </w:rPr>
        <w:t>TEXT14</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new survey by Harvard University finds more than two-thirds of young Americans disapprove of President Trump’s use of Twitter. ②The implication is that Millennials prefer news from the White House to be filtered through other sources, not a president’s social media platform.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①Most Americans rely on social media to check daily headlines. ②Yet as distrust has risen toward all media, people may be starting to beef up their media literacy skills. ③Such a trend is badly needed. ④During the 2016 presidential campaign, nearly a quarter of web content shared by Twitter users in the politically critical state of Michigan was fake news, according to the University of Oxford. ⑤And a survey conducted for BuzzFeed News found 44 percent of Facebook users rarely or never trust news from the media giant.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①Young people who are digital natives are indeed becoming more skillful at separating fact from fiction in cyberspace. ②A Knight Foundation focus-group survey of young people between ages 14 and 24 found they use “distributed trust” to verify stories. ③They cross-check sources and prefer news from different perspectives—especially those that are open about any bias. ④“Many young people assume a great deal of personal responsibility for educating themselves and actively seeking out opposing viewpoints,” the survey concluded.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active research can have another effect. ②A 2014 survey conducted in Australia, Britain, and the United States by the University of Wisconsin-Madison found that young people’s reliance on social media led to greater political engagement.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①Social media allows users to experience news events more intimately and immediately while also permitting them to re-share news as a projection of their values and interests. ②This forces users to be more conscious of their role in passing along information. ③A survey by Barna research group found the top reason given by Americans for the fake news phenomenon is “reader error,” more so than made-up stories or factual mistakes in reporting. ④About a third say the problem of fake news lies in “misinterpretation or exaggeration of actual news” via social media. ⑤In other words, the choice to share news on social media may be the heart of the issue. ⑥“This indicates there is a real personal responsibility in counteracting this problem,” says Roxanne Stone, editor in chief at Barna Group.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when young people are critical of an over-tweeting president, they reveal a mental discipline in thinking skills—and in their choices on when to share on social media.</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Paragraphs 1 and 2, many young Americans cast doubt 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justification of the news-filtering practice.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people's preference for social media platforms.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administration's ability to handle information.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social media as a reliable source of news.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The phrase "beef up” (Para. 2)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sharpen.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boast.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share.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According to the Knight Foundation survey, young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[A] tend to voice their opinions in cyberspace.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[B] verify news by referring to diverse sources.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[C] have a strong sense of social responsibility.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like to exchange views on "distributed trust".</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Barna survey found that a main cause for the fake news problem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readers' misinterpretation.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journalists' biased reporting.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readers' outdated values.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journalists' made-up stories.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Counteraction Against the Over-tweeting Trend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Rise in Critical Skills for Sharing News Online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Accumulation of Mutual Trust on Social Media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Platforms for Projection of Personal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4" w:name="_Toc15286"/>
      <w:r>
        <w:rPr>
          <w:rFonts w:hint="eastAsia"/>
          <w:b/>
          <w:lang w:val="en-US" w:eastAsia="zh-CN"/>
        </w:rPr>
        <w:t>TEXT15</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①Any fair-minded assessment of the dangers of the deal between Britain's National Health Service (NHS) and DeepMind must start by acknowledging that both sides mean well. ②DeepMind is one of the leading artificial intelligence (AI) companies in the world. ③The potential of this work applied to healthcare is very great, but it could also lead to further concentration of power in the tech giants. ④It is against that background that the information commissioner, Elizabeth Denham, has issued her damning verdict against the Royal Free hospital trust under the NHS, which handed over to DeepMind the records of 1.6 million patients in 2015 on the basis of a vague agreement which took far too little account of the patients' rights and their expectations of privacy.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①DeepMind has almost apologised. ②The NHS trust has mended its ways. ③Further arrangements—and there may be many—between the NHS and DeepMind will be carefully scrutinised to ensure that all necessary permissions have been asked of patients and all unnecessary data has been cleaned. ④There are lessons about informed patient consent to learn. ⑤But privacy is not the only angle in this case and not even the most important. ⑥Ms Denham chose to concentrate the blame on the NHS trust, since under existing law it “controlled” the data and DeepMind merely “processed” it. ⑦But this distinction misses the point that it is processing and aggregation, not the mere possession of bits, that gives the data value.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great question is who should benefit from the analysis of all the data that our lives now generate. ②Privacy law builds on the concept of damage to an individual from identifiable knowledge about them. ③That misses the way the surveillance economy works. ④The data of an individual there gains its value only when it is compared with the data of countless millions more.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use of privacy law to curb the tech giants in this instance feels slightly maladapted. ②This practice does not address the real worry. ③It is not enough to say that the algorithms DeepMind develops will benefit patients and save lives. ④What matters is that they will belong to a private monopoly which developed them using public resources. ⑤If software promises to save lives on the scale that drugs now can, big data may be expected to behave as big pharma has done. ⑥We are still at the beginning of this revolution and small choices now may turn out to have gigantic consequences later. ⑦A long struggle will be needed to avoid a future of digital feudalism. ⑧Ms Denham’s report is a welcome start.</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What is true of the agreement between the NHS and DeepMind?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caused conflicts among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failed to pay due attention to patients' rights.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fell short of the latter's expectations.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put both sides into a dangerous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NHS trust responded to Denham's verdict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empty promises.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tough resistance.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necessary adjustments.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sincere apologies.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argues in Paragraph 2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privacy protection must be secured at all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leaking patients' data is worse than selling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making profits from patients' data is illegal.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value of data comes from the processing of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the real worry arising from this deal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vicious rivalry among big pharmas.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ineffective enforcement of privacy law.</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uncontrolled use of new software.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monopoly of big data by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author's attitude toward the application of AI to healthcare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appreciative.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contemptuous.</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5" w:name="_Toc3163"/>
      <w:r>
        <w:rPr>
          <w:rFonts w:hint="eastAsia"/>
          <w:b/>
          <w:lang w:val="en-US" w:eastAsia="zh-CN"/>
        </w:rPr>
        <w:t>TEXT16</w:t>
      </w:r>
      <w:bookmarkEnd w:id="1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 Postal Service (USPS) continues to bleed red ink. ②It reported a net loss of $5.6 billion for fiscal 2016, the 10th straight year its expenses have exceeded revenue. ③Meanwhile, it has more than $120 billion in unfunded liabilities, mostly for employee health and retirement costs. ④There are many reasons this formerly stable federal institution finds itself on the verge of bankruptcy. ⑤Fundamentally, the USPS is in a historic squeeze between technological change that has permanently decreased demand for its bread-and-butter product, first-class mail, and a regulatory structure that denies management the flexibility to adjust its operations to the new reality.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①And interest groups ranging from postal unions to greeting-card makers exert self-interested pressure on the USPS’s ultimate overseer—Congress—insisting that whatever else happens to the Postal Service, aspects of the status quo they depend on get protected. ②This is why repeated attempts at reform legislation have failed in recent years, leaving the Postal Service unable to pay its bills except by deferring vital modernization.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comes word that everyone involved—Democrats, Republicans, the Postal Service, the unions and the system's heaviest users—has finally agreed on a plan to fix the system. ②Legislation is moving through the House that would save USPS an estimated $28.6 billion over five years, which could help pay for new vehicles, among other survival measures. ③Most of the money would come from a penny-per-letter permanent rate increase and from shifting postal retirees into Medicare. ④The latter step would largely offset the financial burden of annually pre-funding retiree health care, thus addressing a long-standing complaint by the USPS and its unions.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①If it clears the House, this measure would still have to get through the Senate—where someone is bound to point out that it amounts to the bare, bare minimum necessary to keep the Postal Service afloat, not comprehensive reform. ②There’s no change to collective bargaining at the USPS, a major omission considering that personnel accounts for 80 percent of the agency’s costs. ③Also missing is any discussion of eliminating Saturday letter delivery. ④That common-sense change enjoys wide public support and would save the USPS $2 billion per year. ⑤But postal special-interest groups seem to have killed it, at least in the House. ⑥The emerging consensus around the bill is a sign that legislators are getting frightened about a politically embarrassing short-term collapse at the USPS. ⑦It is not, however, a sign that they’re getting serious about transforming the postal system for the 21st century.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financial problem with the USPS is caused partly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unbalanced budget.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rigid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cost for technical upgrading.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withdrawal of bank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2, the USPS fails to modernize itself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interference from interest groups.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inadequate funding from Congress.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shrinking demand for postal service.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incompetence of postal unions.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long-standing complaint by the USPS and its unions can be addressed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removing its burden of retiree health care.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making more investment in new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adopting a new rate-increase mechanism.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attracting more first-class mail users.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In the last paragraph, the author seems to view legislators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respect.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tolerance.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discontent.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gratitude.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USPS Starts to Miss Its Good Old Days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Postal Service: Keep Away from My Cheese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USPS: Chronic Illness Requires a Quick Cure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Postal Service Needs More than a Band-Aid</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6" w:name="_Toc16413"/>
      <w:r>
        <w:rPr>
          <w:rFonts w:hint="eastAsia"/>
          <w:b/>
          <w:lang w:val="en-US" w:eastAsia="zh-CN"/>
        </w:rPr>
        <w:t>TEXT17</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①First two hours, now three hours—this is how far in advance authorities are recommending people show up to catch a domestic flight, at least at some major U.S. airports with increasingly massive security lines.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①Americans are willing to tolerate time-consuming security procedures in return for increased safety. ②The crash of EgyptAir Flight 804, which terrorists may have downed over the Mediterranean Sea, provides another tragic reminder of why. ③But demanding too much of air travelers or providing too little security in return undermines public support for the process. ④And it should: Wasted time is a drag on Americans' economic and private lives, not to mention infuriating.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①Last year, the Transportation Security Administration (TSA) found in a secret check that undercover investigators were able to sneak weapons—both fake and real—past airport security nearly every time they tried. ②Enhanced security measures since then, combined with a rise in airline travel due to the improving economy and low oil prices, have resulted in long waits at major airports such as Chicago’s O’Hare International. ③It is not yet clear how much more effective airline security has become—but the lines are obvious.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①Part of the issue is that the government did not anticipate the steep increase in airline travel, so the TSA is now rushing to get new screeners on the line. ②Part of the issue is that airports have only so much room for screening lanes. ③Another factor may be that more people are trying to overpack their carry-on bags to avoid checked-baggage fees, though the airlines strongly dispute this.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step the TSA could take that would not require remodeling airports or rushing to hire: Enroll more people in the PreCheck program. ②PreCheck is supposed to be a win-win for travelers and the TSA. ③Passengers who pass a background check are eligible to use expedited screening lanes. ④This allows the TSA to focus on travelers who are higher risk, saving time for everyone involved. ⑤The TSA wants to enroll 25 million people in PreCheck.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 has not gotten anywhere close to that, and one big reason is sticker shock: Passengers must pay $85 every five years to process their background checks. ②Since the beginning, this price tag has been PreCheck's fatal flaw. ③Upcoming reforms might bring the price to a more reasonable level. ④But Congress should look into doing so directly, by helping to finance PreCheck enrollment or to cut costs in other ways.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TSA cannot continue diverting resources into underused PreCheck lanes while most of the traveling public suffers in unnecessary lines. ②It is long past time to make the program work.</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The crash of EgyptAir Flight 804 is mentioned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stress the urgency to strengthen security worldwide.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explain Americans’ tolerance of current security checks.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highlight the necessity of upgrading major U.S. airports.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emphasize the importance of privacy protection.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contributes to long waits at major airports?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New restrictions on carry-on bags.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declining efficiency of the TSA.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An increase in the number of travelers.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Frequent unexpected secret checks.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The word “expedited” (Para. 5)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quieter.            [B] faster.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wider.             [D] cheaper.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One problem with the PreCheck program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dramatic reduction of its scale.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wrongly-directed implementation.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government’s reluctance to back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an unreasonable price for enrollment.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Getting Stuck in Security Lines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PreCheck—a Belated Solution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Less Screening for More Safety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Underused PreCheck Lanes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7" w:name="_Toc2930"/>
      <w:r>
        <w:rPr>
          <w:rFonts w:hint="eastAsia"/>
          <w:b/>
          <w:lang w:val="en-US" w:eastAsia="zh-CN"/>
        </w:rPr>
        <w:t>TEXT18</w:t>
      </w:r>
      <w:bookmarkEnd w:id="17"/>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ancient Hawaiians were astronomers,” wrote Queen Liliuokalani, Hawaii's last reigning monarch, in 1897. ②Star watchers were among the most esteemed members of Hawaiian society. ③Sadly, all is not well with astronomy in Hawaii today. ④Protests have erupted over construction of the Thirty Meter Telescope (TMT), a giant observatory that promises to revolutionize humanity’s view of the cosmos.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①At issue is the TMT’s planned location on Mauna Kea, a dormant volcano worshiped by some Hawaiians as the piko, that connects the Hawaiian Islands to the heavens. ②But Mauna Kea is also home to some of the world’s most powerful telescopes. ③Rested in the Pacific Ocean, Mauna Kea’s peak rises above the bulk of our planet’s dense atmosphere, where conditions allow telescopes to obtain images of unsurpassed clarity.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①Opposition to telescopes on Mauna Kea is nothing new. ②A small but vocal group of Hawaiians and environmentalists have long viewed their presence as disrespect for sacred land and a painful reminder of the occupation of what was once a sovereign nation.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①Some blame for the current controversy belongs to astronomers. ②In their eagerness to build bigger telescopes, they forgot that science is not the only way of understanding the world. ③They did not always prioritize the protection of Mauna Kea’s fragile ecosystems or its holiness to the islands’ inhabitants. ④Hawaiian culture is not a relic of the past; it is a living culture undergoing a renaissance today.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①Yet science has a cultural history, too, with roots going back to the dawn of civilization. ②The same curiosity to find what lies beyond the horizon that first brought early Polynesians to Hawaii’s shores inspires astronomers today to explore the heavens. ③Calls to disassemble all telescopes on Mauna Kea or to ban future development there ignore the reality that astronomy and Hawaiian culture both seek to answer big questions about who we are, where we come from and where we are going. ④Perhaps that is why we explore the starry skies, as if answering a primal calling to know ourselves and our true ancestral homes.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astronomy community is making compromises to change its use of Mauna Kea. ②The TMT site was chosen to minimize the telescope’s visibility around the island and to avoid archaeological and environmental impact. ③To limit the number of telescopes on Mauna Kea, old ones will be removed at the end of their lifetimes and their sites returned to a natural state. ④There is no reason why everyone cannot be welcomed on Mauna Kea to embrace their cultural heritage and to study the stars.</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Queen Liliuokalani’s remark in Paragraph 1 indicates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importance of astronomy in ancient Hawaiian society.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her conservative view on the historical role of astronomy.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regrettable decline of astronomy in ancient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her appreciation of star watchers’ feats in her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Mauna Kea is deemed as an ideal astronomical site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religious implications.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protective surroundings.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its geographical features.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existing infrastructure.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The construction of the TMT is opposed by some locals partly because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may risk ruining their intellectual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they fear losing control of Mauna Kea.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their culture will lose a chance of revival.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reminds them of a humiliating history.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 It can be inferred from Paragraph 5 that progress in today’s astronomy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is fulfilling the dreams of ancient Hawaiians.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helps spread Hawaiian culture across the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may uncover the origin of Hawaiian 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will eventually soften Hawaiians’ hostility.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The author’s attitude toward choosing Mauna Kea as the TMT site is one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severe criticism.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full approval.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passive acceptance.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slight hesitancy.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lang w:val="en-US" w:eastAsia="zh-CN"/>
        </w:rPr>
      </w:pPr>
      <w:bookmarkStart w:id="18" w:name="_Toc11927"/>
      <w:r>
        <w:rPr>
          <w:rFonts w:hint="eastAsia"/>
          <w:lang w:val="en-US" w:eastAsia="zh-CN"/>
        </w:rPr>
        <w:t>TEXT19</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①Robert F. Kennedy once said that a country’s GDP measures “everything except that which makes life worthwhile.” ②With Britain voting to leave the European Union, and GDP already predicted to slow as a result, it is now a timely moment to assess what he was referring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question of GDP and its usefulness has annoyed policymakers for over half a century. Many argue that it is a flawed concept. ②It measures things that do not matter and misses things that do. ③By most recent measures, the UK’s GDP has been the envy of the Western world, with record low unemployment and high growth figures. ④If everything was going so well, then why did over 17 million people vote for Brexit, despite the warnings about what it could do to their country’s economic prospects?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recent annual study of countries and their ability to convert growth into well-being sheds some light on that question. ②Across the 163 countries measured, the UK is one of the poorest performers in ensuring that economic growth is translated into meaningful improvements for its citizens. ③Rather than just focusing on GDP, over 40 different sets of criteria from health, education and civil society engagement have been measured to get a more rounded assessment of how countries are performing.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①While all of these countries face their own challenges, there are a number of consistent themes. ②Yes, there has been a budding economic recovery since the 2008 global crash, but in key indicators in areas such as health and education, major economies have continued to decline. ③Yet this isn’t the case with all countries. ④Some relatively poor European countries have seen huge improvements across measures including civil society, income equality and the environment.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 a lesson that rich countries can learn: When GDP is no longer regarded as the sole measure of a country’s success, the world looks very different.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what Kennedy was referring to was that while GDP has been the most common method for measuring the economic activity of nations, as a measure, it is no longer enough. ②It does not include important factors such as environmental quality or education outcomes—all things that contribute to a person’s sense of well-being.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sharp hit to growth predicted around the world and in the UK could lead to a decline in the everyday services we depend on for our well-being and for growth. ②But policymakers who refocus efforts on improving well-being rather than simply worrying about GDP figures could avoid the forecasted doom and may even see progress.</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Robert F. Kennedy is cited because he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praised the UK for its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identified GDP with happiness.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misinterpreted the role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had a low opinion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It can be inferred from Paragraph 2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GDP as the measure of success is widely defied in the UK.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policymakers in the UK are paying less attention to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UK will contribute less to the world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UK is reluctant to remold its economic pattern.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pStyle w:val="2"/>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Which of the following is true about the recent annual study?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excludes GDP as an indicator.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sponsored by 163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criteria are questionable.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results are enlightening.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In the last two paragraphs, the author suggests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UK is preparing for an economic boom.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essential to consider factors beyond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high GDP foreshadows an economic decline.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requires caution to handle economic issues.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is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Brexit, the UK’s Gateway to Well-being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Robert F. Kennedy, a Terminator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 GDP But Inadequate Well-being, a UK Lesson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GDP Figures, a Window on Global Economic Health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D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9" w:name="_Toc19182"/>
      <w:r>
        <w:rPr>
          <w:rFonts w:hint="eastAsia"/>
          <w:b/>
          <w:lang w:val="en-US" w:eastAsia="zh-CN"/>
        </w:rPr>
        <w:t>TEXT20</w:t>
      </w:r>
      <w:bookmarkEnd w:id="1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 rare unanimous ruling, the US Supreme Court has overturned the corruption conviction of a former Virginia governor, Robert McDonnell. ②But it did so while holding its nose at the ethics of his conduct, which included accepting gifts such as a Rolex watch and a Ferrari automobile from a company seeking access to government.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high court’s decision said the judge in Mr. McDonnell’s trial failed to tell a jury that it must look only at his “official acts,” or the former governor’s decisions on “specific” and “unsettled” issues related to his duties.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①Merely helping a gift-giver gain access to other officials, unless done with clear intent to pressure those officials, is not corruption, the justices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 did suggest that accepting favors in return for opening doors is “distasteful” and “nasty.” ②But under anti-bribery laws, proof must be made of concrete benefits, such as approval of a contract or regulation. ③Simply arranging a meeting, making a phone call, or hosting an event is not an “official act.”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legally sound in defining a kind of favoritism that is not criminal. ②Elected leaders must be allowed to help supporters deal with bureaucratic problems without fear of prosecution of bribery. “The basic compact underlying representative government,” wrote Chief Justice John Roberts for the court, “assumes that public officials will hear from their constituents and act on their concerns.”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the ruling reinforces the need for citizens and their elected representatives, not the courts, to ensure equality of access to government. ②Officials must not be allowed to play favorites in providing information or in arranging meetings simply because an individual or group provides a campaign donation or a personal gift. ③This type of integrity requires well-enforced laws in government transparency, such as records of official meetings, rules on lobbying, and information about each elected leader’s source of wealth.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①Favoritism in official access can fan public perceptions of corruption. ②But it is not always corruption. ③Rather officials must avoid double standards, or different types of access for average people and the wealthy. ④If connections can be bought, a basic premise of democratic society—that all are equal in treatment by government—is undermined. ⑤Good governance rests on an understanding of the inherent worth of each individual.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a step forward in the struggle against both corruption and official favoritism.</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underlined sentence (Para. 1) most probably shows that the court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made no compromise in convicting McDonnell.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avoided defining the extent of McDonnell’s duties.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was contemptuous of McDonnell’s conduct.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refused to comment on McDonnell’s ethics.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4, an official act is deemed corruptive only if it involves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concrete returns for gift-givers.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sizable gains in the form of gifts.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leaking secrets intentionally.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breaking contracts officially.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pStyle w:val="2"/>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court’s ruling is based on the assumption that public officials 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allowed to focus on the concerns of their supporters.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qualified to deal independently with bureaucratic issues.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justified in addressing the needs of their constituents.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exempt from conviction on the charge of favoritism.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Well-enforced laws in government transparency are needed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awaken the conscience of officials.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allow for certain kinds of lobbying.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guarantee fair play in official access.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inspire hopes in average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author’s attitude toward the court’s ruling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sarcastic.            [B] 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skeptical.            [D] supportive.</w:t>
      </w: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C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0" w:name="_Toc25863"/>
      <w:r>
        <w:rPr>
          <w:rFonts w:hint="eastAsia"/>
          <w:b/>
          <w:lang w:val="en-US" w:eastAsia="zh-CN"/>
        </w:rPr>
        <w:t>TEXT21</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①France, which prides itself as the global innovator of fashion, has decided its fashion industry has lost an absolute right to define physical beauty for women. ②Its lawmakers gave preliminary approval last week to a law that would make it a crime to employ ultra-thin models on runways. ③The parliament also agreed to ban websites that “incite excessive thinness” by promoting extreme dieting.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measures have a couple of uplifting motives. ②They suggest beauty should not be defined by looks that end up impinging on health. ③That’s a start. ④And the ban on ultra-thin models seems to go beyond protecting models from starving themselves to death—as some have done. ⑤It tells the fashion industry that it must take responsibility for the signal it sends women, especially teenage girls, about the social tape-measure they must use to determine their individual worth.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bans, if fully enforced, would suggest to women (and many men) that they should not let others be arbiters of their beauty. ②And perhaps faintly, they hint that people should look to intangible qualities like character and intellect rather than dieting their way to size zero or wasp-waist physiques.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French measures, however, rely too much on severe punishment to change a culture that still regards beauty as skin-deep—and bone-showing. ②Under the law, using a fashion model that does not meet a government-defined index of body mass could result in a $85,000 fine and six months in prison.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fashion industry knows it has an inherent problem in focusing on material adornment and idealized body types. ②In Denmark, the United States, and a few other countries, it is trying to set voluntary standards for models and fashion images that rely more on peer pressure for enforcement.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contrast to France’s actions, Denmark’s fashion industry agreed last month on rules and sanctions regarding the age, health, and other characteristics of models. ②The newly revised Danish Fashion Ethical Charter clearly states: “We are aware of and take responsibility for the impact the fashion industry has on body ideals, especially on young people.” ③The charter’s main tool of enforcement is to deny access for designers and modeling agencies to Copenhagen Fashion Week (CFW), which is run by the Danish Fashion Institute. ④But in general it relies on a name-and-shame method of compliance.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①Relying on ethical persuasion rather than law to address the misuse of body ideals may be the best step. ②Even better would be to help elevate notions of beauty beyond the material standards of a particular industry.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the first paragraph, what would happen in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Physical beauty would be redefined.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runways would be constructed.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Websites about dieting would thrive.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fashion industry would decline.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phrase “impinging on” (Para. 2)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indicating the state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heightening the value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losing faith 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doing harm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Which of the following is true of the fashion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French measures have already failed.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standards are being set in Denmark.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Models are no longer under peer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inherent problems are getting worse.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A designer is most likely to be rejected by CFW for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pursuing perfect physical conditions.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caring too much about models’ character.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showing little concern for health factors.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setting a high age threshold for models.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may be the best title of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Challenge to the Fashion Industry’s Body Ideals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Dilemma for the Starving Models in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 Another Round of Struggle for Beauty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Great Threats to the Fashion Industry</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B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1" w:name="_Toc2060"/>
      <w:r>
        <w:rPr>
          <w:rFonts w:hint="eastAsia"/>
          <w:b/>
          <w:lang w:val="en-US" w:eastAsia="zh-CN"/>
        </w:rPr>
        <w:t>TEXT22</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①For the first time in history more people live in towns than in the country. ②In Britain this has had a curious result. ③While polls show Britons rate “the countryside” alongside the royal family, Shakespeare and the National Health Service (NHS) as what makes them proudest of their country, this has limited political support.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 century ago Octavia Hill launched the National Trust not to rescue stylish houses but to save “the beauty of natural places for everyone forever.” ②It was specifically to provide city dwellers with spaces for leisure where they could experience “a refreshing air.” ③Hill’s pressure later led to the creation of national parks and green belts. ④They don’t make countryside any more, and every year concrete consumes more of it. ⑤It needs constant guardianship.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①At the next election none of the big parties seem likely to endorse this sentiment. ②The Conservatives’ planning reform explicitly gives rural development priority over conservation, even authorising “off-plan” building where local people might object. ③The concept of sustainable development has been defined as profitable. ④Labour likewise wants to discontinue local planning where councils oppose development. ⑤The Liberal Democrats are silent. ⑥Only Ukip, sensing its chance, has sided with those pleading for a more considered approach to using green land. ⑦Its Campaign to Protect Rural England struck terror into many local Conservative parties.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sensible place to build new houses, factories and offices is where people are, in cities and towns where infrastructure is in place. ②The London agents Stirling Ackroyd recently identified enough sites for half a million houses in the Landon area alone, with no intrusion on green belt. ③What is true of London is even truer of the provinces.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idea that “housing crisis” equals “concreted meadows” is pure lobby talk. ②The issue is not the need for more houses but, as always, where to put them. ③Under lobby pressure, George Osborne favours rural new-build against urban renovation and renewal. ④He favours out-of-town shopping sites against high streets. ⑤This is not a free market but a biased one. ⑥Rural towns and villages have grown and will always grow. ⑦They do so best where building sticks to their edges and respects their character. ⑧We do not ruin urban conservation areas. ⑨Why ruin rural ones?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①Development should be planned, not let rip. ②After the Netherlands, Britain is Europe’s most crowded country. ③Half a century of town and country planning has enabled it to retain an enviable rural coherence, while still permitting low-density urban living. ④There is no doubt of the alternative—the corrupted landscapes of southern Portugal, Spain or Ireland. ⑤Avoiding this rather than promoting it should unite the left and right of the political spectrum.</w:t>
      </w:r>
    </w:p>
    <w:p>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rPr>
          <w:rFonts w:hint="eastAsia"/>
          <w:lang w:val="en-US" w:eastAsia="zh-CN"/>
        </w:rPr>
      </w:pPr>
      <w:r>
        <w:rPr>
          <w:rFonts w:hint="eastAsia"/>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Britain’s public sentiment about the countryside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brought much benefit to the NHS.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didn’t start till the Shakespearean 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 fully backed by the royal family.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is not well reflected in politics.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2, the achievements of the National Trust are now 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gradually destroyed.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effectively reinforced.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properly protected.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largely overshadowed.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Which of the following can be inferred from Paragraph 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Labour is under attack for opposing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Conservatives may abandon “off-plan” building.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Ukip may gain from its support for rural conservation.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Liberal Democrats are losing political influence.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author holds that George Osborne’s preference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reveals a strong prejudice against urban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shows his disregard for the character of rural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stresses the necessity of easing the housing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highlights his firm stand against lobby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In the last paragraph, the author shows his appreciation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size of population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enviable urban lifestyle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town-and-country planning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political life in today’s Britain.</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C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2" w:name="_Toc20222"/>
      <w:r>
        <w:rPr>
          <w:rFonts w:hint="eastAsia"/>
          <w:b/>
          <w:lang w:val="en-US" w:eastAsia="zh-CN"/>
        </w:rPr>
        <w:t>TEXT23</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and only one social responsibility of business,” wrote Milton Friedman, a Nobel prize-winning economist, “That is, to use its resources and engage in activities designed to increase its profits.” ②But even if you accept Friedman’s premise and regard corporate social responsibility (CSR) policies as a waste of shareholders’ money, things may not be absolutely clear-cut. ③New research suggests that CSR may create monetary value for companies—at least when they are prosecuted for corruption.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largest firms in America and Britain together spend more than $15 billion a year on CSR, according to an estimate by EPG, a consulting firm. ②This could add value to their businesses in three ways. ③First, consumers may take CSR spending as a “signal” that a company’s products are of high quality. ④Second, customers may be willing to buy a company’s products as an indirect way to donate to the good causes it helps. ⑤And third, through a more diffuse “halo effect,” whereby its good deeds earn it greater consideration from consumers and others.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①Previous studies on CSR have had trouble differentiating these effects because consumers can be affected by all three. ②A recent study attempts to separate them by looking at bribery prosecutions under America’s Foreign Corrupt Practices Act (FCPA). ③It argues that since prosecutors do not consume a company’s products as part of their investigations, they could be influenced only by the halo effect.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study found that, among prosecuted firms, those with the most comprehensive CSR programmes tended to get more lenient penalties. ②Their analysis ruled out the possibility that it was firms’ political influence, rather than their CSR stand, that accounted for the leniency: Companies that contributed more to political campaigns did not receive lower fines.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all, the study concludes that whereas prosecutors should only evaluate a case based on its merits, they do seem to be influenced by a company’s record in CSR. ②“We estimate that either eliminating a substantial labour-rights concern, such as child labour, or increasing corporate giving by about 20% results in fines that generally are 40% lower than the typical punishment for bribing foreign officials,” says one researcher.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①Researchers admit that their study does not answer the question of how much businesses ought to spend on CSR. ②Nor does it reveal how much companies are banking on the halo effect, rather than the other possible benefits, when they decide their do-gooding policies. ③But at least they have demonstrated that when companies get into trouble with the law, evidence of good character can win them a less costly punishment.</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31. The author views Milton Friedman’s statement about CSR with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uncertainty.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skepticism.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approval.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tolerance.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32. According to Paragraph 2, CSR helps a company by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guarding it against malpractices.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protecting it from being defamed.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winning trust from consumers.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raising the quality of its products.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33. The expression “more lenient” (Para. 4) is closest in meaning to</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less controversial.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more lasting.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more effective.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less severe.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34. When prosecutors evaluate a case, a company’s CSR record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comes across as reliable evidence.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has an impact on their decision.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increases the chance of being penalized.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constitutes part of the investigation.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35. Which of the following is true of CSR, according to the last paragraph?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A. The necessary amount of companies’ spending on it is unknown.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B. Companies’ financial capacity for it has been overestimated.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Its negative effects on businesses are often overlooked.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It has brought much benefit to the banking industry.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3" w:name="_Toc7770"/>
      <w:r>
        <w:rPr>
          <w:rFonts w:hint="eastAsia"/>
          <w:b/>
          <w:lang w:val="en-US" w:eastAsia="zh-CN"/>
        </w:rPr>
        <w:t>TEXT24</w:t>
      </w:r>
      <w:bookmarkEnd w:id="2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will eventually come a day when The New York Times ceases to publish stories on newsprint. ②Exactly when that day will be is a matter of debate. ③“Sometime in the future,” the paper’s publisher said back in 2010.</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①Nostalgia for ink on paper and the rustle of pages aside, there’s plenty of incentive to ditch print. ②The infrastructure required to make a physical newspaper—printing presses, delivery trucks —isn’t just expensive; it’s excessive at a time when online-only competitors don’t have the same set of financial constraints. ③Readers are migrating away from print anyway. ④And though print ad sales still dwarf their online and mobile counterparts, revenue from print is still declining.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①Overhead may be high and circulation lower, but rushing to eliminate its print edition would be a mistake, says BuzzFeed CEO Jonah Peretti.</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①Peretti says the Times shouldn’t waste time getting out of the print business, but only if they go about doing it the right way. ②“Figuring out a way to accelerate that transition would make sense for them,” he said, “but if you discontinue it, you’re going to have your most loyal customers really upset with you.”</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①Sometimes that’s worth making a change anyway. ②Peretti gives the example of Netflix discontinuing its DVD-mailing service to focus on streaming. ③“It was seen as a blunder,” he said. ④The move turned out to be foresighted. ⑤And if Peretti were in charge at the Times? ⑥“I wouldn’t pick a year to end print,” he said. “I would raise prices and make it into more of a legacy product.”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most loyal customers would still get the product they favor, the idea goes, and they’d feel like they were helping sustain the quality of something they believe in. ②“So if you’re overpaying for print, you could feel like you were helping,” Peretti said.③ “Then increase it at a higher rate each year and essentially try to generate additional revenue.” ④In other words, if you’re going to make a print product, make it for the people who are already obsessed with it. ⑤Which may be what the Times is doing already. ⑥Getting the print edition seven days a week costs nearly $500 a year—more than twice as much as a digital-only subscription.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①“It’s a really hard thing to do and it’s a tremendous luxury that BuzzFeed doesn’t have a legacy business,” Peretti remarked. ②“But we’re going to have questions like that where we have things we’re doing that don’t make sense when the market changes and the world changes. ③In those situations, it’s better to be more aggressive than less aggressive.”</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New York Times is considering ending its print edition partly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increasing online ad sales.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pressure from its investors.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complaints from its readers.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high cost of operation.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Peretti suggests that, in face of the present situation, the Times should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make strategic adjustments.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end the print edition for good.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seek new sources of readership.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aim for efficient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It can be inferred from Paragraphs 5 and 6 that a “legacy product”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restore the glory of former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is meant for the most loyal customers.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will have the cost of printing reduced.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expands the popularity of the paper.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Peretti believes that, in a changing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traditional luxuries can stay unaffected.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cautiousness facilitates problem-solving.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aggressiveness better meets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legacy businesses are becoming outdated.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of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Shift to Online Newspapers All at Once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Cherish the Newspaper Still in Your Hand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Keep Your Newspapers Forever in Fashion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t>D. Make Your Print Newspaper a Luxury Good</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pPr>
        <w:rPr>
          <w:rFonts w:hint="default" w:ascii="Times New Roman" w:hAnsi="Times New Roman" w:cs="Times New Roman" w:eastAsiaTheme="minorEastAsia"/>
          <w:b/>
          <w:bCs/>
          <w:sz w:val="24"/>
          <w:lang w:val="en-US" w:eastAsia="zh-CN"/>
        </w:rPr>
      </w:pPr>
      <w:r>
        <w:rPr>
          <w:rFonts w:ascii="Times New Roman" w:hAnsi="Times New Roman" w:cs="Times New Roman"/>
          <w:b/>
          <w:bCs/>
          <w:sz w:val="24"/>
        </w:rPr>
        <w:t xml:space="preserve">Text </w:t>
      </w:r>
      <w:r>
        <w:rPr>
          <w:rFonts w:hint="eastAsia" w:ascii="Times New Roman" w:hAnsi="Times New Roman" w:cs="Times New Roman"/>
          <w:b/>
          <w:bCs/>
          <w:sz w:val="24"/>
          <w:lang w:val="en-US" w:eastAsia="zh-CN"/>
        </w:rPr>
        <w:t>25</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People often complain that plastics are too durable. Water bottles, shopping bags, and other trash litter the planet, from Mount Everest to the Mariana Trench, because plastics are everywhere and don’t break down easily. But some plastic materials change over time. They crack and frizzle. They “weep” out additives. They melt into sludge. All of which creates huge headaches for institutions, such as museums, trying to preserve culturally important objects. The variety of plastic objects at risk is dizzying: early radios, avant-garde sculptures, celluloid animation stills from Disney films, the first artificial heart.</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Certain artifacts are especially vulnerable because some pioneers in plastic art didn’t always know how to mix ingredients properly, says Thea van Oosten, a polymer chemist who, until retiring a few years ago, worked for decades at the Cultural Heritage Agency of the Netherlands. “It’s like baking a cake: If you don’t have exact amounts, it goes wrong,” she says. “The object you make is already a time bomb.”</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And sometimes, it’s not the artist’s fault. In the 1960s, the Italian artist Picro Gilardi began to create hundreds of bright, colorful foam pieces. Those pieces included small beds of roses and other items as well as a few dozen “nature carpets” </w:t>
      </w:r>
      <w:r>
        <w:rPr>
          <w:rFonts w:hint="eastAsia" w:ascii="Times New Roman" w:hAnsi="Times New Roman" w:cs="Times New Roman"/>
          <w:sz w:val="24"/>
        </w:rPr>
        <w:t>—</w:t>
      </w:r>
      <w:r>
        <w:rPr>
          <w:rFonts w:ascii="Times New Roman" w:hAnsi="Times New Roman" w:cs="Times New Roman"/>
          <w:sz w:val="24"/>
        </w:rPr>
        <w:t xml:space="preserve">large rectangles decorated with foam pumpkins, cabbages, and watermelons. He wanted viewers to walk around on the carpets—which meant they had to be durable.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Unfortunately,</w:t>
      </w:r>
      <w:r>
        <w:rPr>
          <w:rFonts w:hint="eastAsia" w:ascii="Times New Roman" w:hAnsi="Times New Roman" w:cs="Times New Roman"/>
          <w:sz w:val="24"/>
        </w:rPr>
        <w:t xml:space="preserve"> </w:t>
      </w:r>
      <w:r>
        <w:rPr>
          <w:rFonts w:ascii="Times New Roman" w:hAnsi="Times New Roman" w:cs="Times New Roman"/>
          <w:sz w:val="24"/>
        </w:rPr>
        <w:t>the</w:t>
      </w:r>
      <w:r>
        <w:rPr>
          <w:rFonts w:hint="eastAsia" w:ascii="Times New Roman" w:hAnsi="Times New Roman" w:cs="Times New Roman"/>
          <w:sz w:val="24"/>
        </w:rPr>
        <w:t xml:space="preserve"> </w:t>
      </w:r>
      <w:r>
        <w:rPr>
          <w:rFonts w:ascii="Times New Roman" w:hAnsi="Times New Roman" w:cs="Times New Roman"/>
          <w:sz w:val="24"/>
        </w:rPr>
        <w:t>polyurethane foam he used is inherently unstable.</w:t>
      </w:r>
      <w:r>
        <w:rPr>
          <w:rFonts w:hint="eastAsia" w:ascii="Times New Roman" w:hAnsi="Times New Roman" w:cs="Times New Roman"/>
          <w:sz w:val="24"/>
        </w:rPr>
        <w:t xml:space="preserve"> </w:t>
      </w:r>
      <w:r>
        <w:rPr>
          <w:rFonts w:ascii="Times New Roman" w:hAnsi="Times New Roman" w:cs="Times New Roman"/>
          <w:sz w:val="24"/>
        </w:rPr>
        <w:t>It’s especially vulnerable to light damage,</w:t>
      </w:r>
      <w:r>
        <w:rPr>
          <w:rFonts w:hint="eastAsia" w:ascii="Times New Roman" w:hAnsi="Times New Roman" w:cs="Times New Roman"/>
          <w:sz w:val="24"/>
        </w:rPr>
        <w:t xml:space="preserve"> </w:t>
      </w:r>
      <w:r>
        <w:rPr>
          <w:rFonts w:ascii="Times New Roman" w:hAnsi="Times New Roman" w:cs="Times New Roman"/>
          <w:sz w:val="24"/>
        </w:rPr>
        <w:t>and by the mid-1990s, Gilardi’s pumpkins, roses, and other figures were spitting and crumbling. Museums locked some of them away in the dark.</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So van Oosten and her colleagues worked to preserve Gilardi’s sculptures. They infused some with stabilizing and consolidating chemicals. Van Oosten calls those chemicals “sunscreens” because their goal was to prevent further light damage and rebuild worn polymer fibers. She is proud that several sculptures have even gone on display again, albeit sometimes beneath protective cases.</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Despite success stories like van Oosten’s, preservation of plastics will likely get harder. Old objects continue to deteriorate. Worse, biodegradable plastics designed to disintegrate, are increasingly common.</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And more is at stake here than individual objects. Joana Lia Ferreira, an assistant professor of conservation and restoration at the NOVA School of Science and Technology, notes that archaeologists first defined the great material ages of human history—Stone Age, Iron Age, and so on—after examining artifacts in museums. We now live in an age of plastic, she says, “and what we decide to collect today, what we decide to preserve</w:t>
      </w:r>
      <w:r>
        <w:rPr>
          <w:rFonts w:hint="eastAsia" w:ascii="Times New Roman" w:hAnsi="Times New Roman" w:cs="Times New Roman"/>
          <w:sz w:val="24"/>
        </w:rPr>
        <w:t>...</w:t>
      </w:r>
      <w:r>
        <w:rPr>
          <w:rFonts w:ascii="Times New Roman" w:hAnsi="Times New Roman" w:cs="Times New Roman"/>
          <w:sz w:val="24"/>
        </w:rPr>
        <w:t>will have a strong impact on how in the future we’ll be seen.”</w:t>
      </w:r>
    </w:p>
    <w:p>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pPr>
        <w:rPr>
          <w:rFonts w:ascii="Times New Roman" w:hAnsi="Times New Roman" w:cs="Times New Roman"/>
          <w:sz w:val="24"/>
        </w:rPr>
      </w:pPr>
      <w:r>
        <w:rPr>
          <w:rFonts w:ascii="Times New Roman" w:hAnsi="Times New Roman" w:cs="Times New Roman"/>
          <w:sz w:val="24"/>
        </w:rPr>
        <w:br w:type="page"/>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21.According to Paragraph 1,museums are faced with difficulties in_____.</w:t>
      </w:r>
    </w:p>
    <w:p>
      <w:pPr>
        <w:spacing w:line="360" w:lineRule="auto"/>
        <w:rPr>
          <w:rFonts w:ascii="Times New Roman" w:hAnsi="Times New Roman" w:cs="Times New Roman"/>
          <w:sz w:val="24"/>
        </w:rPr>
      </w:pPr>
      <w:r>
        <w:rPr>
          <w:rFonts w:hint="eastAsia" w:ascii="Times New Roman" w:hAnsi="Times New Roman" w:cs="Times New Roman"/>
          <w:sz w:val="24"/>
        </w:rPr>
        <w:t>[A] maintaining their plastic items.</w:t>
      </w:r>
    </w:p>
    <w:p>
      <w:pPr>
        <w:spacing w:line="360" w:lineRule="auto"/>
        <w:rPr>
          <w:rFonts w:ascii="Times New Roman" w:hAnsi="Times New Roman" w:cs="Times New Roman"/>
          <w:sz w:val="24"/>
        </w:rPr>
      </w:pPr>
      <w:r>
        <w:rPr>
          <w:rFonts w:hint="eastAsia" w:ascii="Times New Roman" w:hAnsi="Times New Roman" w:cs="Times New Roman"/>
          <w:sz w:val="24"/>
        </w:rPr>
        <w:t xml:space="preserve">[B] obtaining durable plastic artifacts. </w:t>
      </w:r>
    </w:p>
    <w:p>
      <w:pPr>
        <w:spacing w:line="360" w:lineRule="auto"/>
        <w:rPr>
          <w:rFonts w:ascii="Times New Roman" w:hAnsi="Times New Roman" w:cs="Times New Roman"/>
          <w:sz w:val="24"/>
        </w:rPr>
      </w:pPr>
      <w:r>
        <w:rPr>
          <w:rFonts w:hint="eastAsia" w:ascii="Times New Roman" w:hAnsi="Times New Roman" w:cs="Times New Roman"/>
          <w:sz w:val="24"/>
        </w:rPr>
        <w:t xml:space="preserve">[C] handling outdated plastic exhibits. </w:t>
      </w:r>
    </w:p>
    <w:p>
      <w:pPr>
        <w:spacing w:line="360" w:lineRule="auto"/>
        <w:rPr>
          <w:rFonts w:ascii="Times New Roman" w:hAnsi="Times New Roman" w:cs="Times New Roman"/>
          <w:sz w:val="24"/>
        </w:rPr>
      </w:pPr>
      <w:r>
        <w:rPr>
          <w:rFonts w:hint="eastAsia" w:ascii="Times New Roman" w:hAnsi="Times New Roman" w:cs="Times New Roman"/>
          <w:sz w:val="24"/>
        </w:rPr>
        <w:t>[D] classifying their plastic collections.</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22. Van Oosten believes that certain plastic objects are_____.</w:t>
      </w:r>
    </w:p>
    <w:p>
      <w:pPr>
        <w:spacing w:line="360" w:lineRule="auto"/>
        <w:rPr>
          <w:rFonts w:ascii="Times New Roman" w:hAnsi="Times New Roman" w:cs="Times New Roman"/>
          <w:sz w:val="24"/>
        </w:rPr>
      </w:pPr>
      <w:r>
        <w:rPr>
          <w:rFonts w:hint="eastAsia" w:ascii="Times New Roman" w:hAnsi="Times New Roman" w:cs="Times New Roman"/>
          <w:sz w:val="24"/>
        </w:rPr>
        <w:t>[A] immune to decay</w:t>
      </w:r>
    </w:p>
    <w:p>
      <w:pPr>
        <w:spacing w:line="360" w:lineRule="auto"/>
        <w:rPr>
          <w:rFonts w:ascii="Times New Roman" w:hAnsi="Times New Roman" w:cs="Times New Roman"/>
          <w:sz w:val="24"/>
        </w:rPr>
      </w:pPr>
      <w:r>
        <w:rPr>
          <w:rFonts w:hint="eastAsia" w:ascii="Times New Roman" w:hAnsi="Times New Roman" w:cs="Times New Roman"/>
          <w:sz w:val="24"/>
        </w:rPr>
        <w:t>[B] improperly shaped</w:t>
      </w:r>
    </w:p>
    <w:p>
      <w:pPr>
        <w:spacing w:line="360" w:lineRule="auto"/>
        <w:rPr>
          <w:rFonts w:ascii="Times New Roman" w:hAnsi="Times New Roman" w:cs="Times New Roman"/>
          <w:sz w:val="24"/>
        </w:rPr>
      </w:pPr>
      <w:r>
        <w:rPr>
          <w:rFonts w:hint="eastAsia" w:ascii="Times New Roman" w:hAnsi="Times New Roman" w:cs="Times New Roman"/>
          <w:sz w:val="24"/>
        </w:rPr>
        <w:t>[C] inherently flawed</w:t>
      </w:r>
    </w:p>
    <w:p>
      <w:pPr>
        <w:spacing w:line="360" w:lineRule="auto"/>
        <w:rPr>
          <w:rFonts w:ascii="Times New Roman" w:hAnsi="Times New Roman" w:cs="Times New Roman"/>
          <w:sz w:val="24"/>
        </w:rPr>
      </w:pPr>
      <w:r>
        <w:rPr>
          <w:rFonts w:hint="eastAsia" w:ascii="Times New Roman" w:hAnsi="Times New Roman" w:cs="Times New Roman"/>
          <w:sz w:val="24"/>
        </w:rPr>
        <w:t>[D] complex in structure</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23.Museums stopped exhibiting some of Gilardi</w:t>
      </w:r>
      <w:r>
        <w:rPr>
          <w:rFonts w:ascii="Times New Roman" w:hAnsi="Times New Roman" w:cs="Times New Roman"/>
          <w:sz w:val="24"/>
        </w:rPr>
        <w:t>’</w:t>
      </w:r>
      <w:r>
        <w:rPr>
          <w:rFonts w:hint="eastAsia" w:ascii="Times New Roman" w:hAnsi="Times New Roman" w:cs="Times New Roman"/>
          <w:sz w:val="24"/>
        </w:rPr>
        <w:t>s artworks to_____.</w:t>
      </w:r>
    </w:p>
    <w:p>
      <w:pPr>
        <w:spacing w:line="360" w:lineRule="auto"/>
        <w:rPr>
          <w:rFonts w:ascii="Times New Roman" w:hAnsi="Times New Roman" w:cs="Times New Roman"/>
          <w:sz w:val="24"/>
        </w:rPr>
      </w:pPr>
      <w:r>
        <w:rPr>
          <w:rFonts w:hint="eastAsia" w:ascii="Times New Roman" w:hAnsi="Times New Roman" w:cs="Times New Roman"/>
          <w:sz w:val="24"/>
        </w:rPr>
        <w:t>[A] keep them from hurting visitors</w:t>
      </w:r>
    </w:p>
    <w:p>
      <w:pPr>
        <w:spacing w:line="360" w:lineRule="auto"/>
        <w:rPr>
          <w:rFonts w:ascii="Times New Roman" w:hAnsi="Times New Roman" w:cs="Times New Roman"/>
          <w:sz w:val="24"/>
        </w:rPr>
      </w:pPr>
      <w:r>
        <w:rPr>
          <w:rFonts w:hint="eastAsia" w:ascii="Times New Roman" w:hAnsi="Times New Roman" w:cs="Times New Roman"/>
          <w:sz w:val="24"/>
        </w:rPr>
        <w:t>[B] duplicate them for future display</w:t>
      </w:r>
    </w:p>
    <w:p>
      <w:pPr>
        <w:spacing w:line="360" w:lineRule="auto"/>
        <w:rPr>
          <w:rFonts w:ascii="Times New Roman" w:hAnsi="Times New Roman" w:cs="Times New Roman"/>
          <w:sz w:val="24"/>
        </w:rPr>
      </w:pPr>
      <w:r>
        <w:rPr>
          <w:rFonts w:hint="eastAsia" w:ascii="Times New Roman" w:hAnsi="Times New Roman" w:cs="Times New Roman"/>
          <w:sz w:val="24"/>
        </w:rPr>
        <w:t>[C] have their ingredients analyzed</w:t>
      </w:r>
    </w:p>
    <w:p>
      <w:pPr>
        <w:spacing w:line="360" w:lineRule="auto"/>
        <w:rPr>
          <w:rFonts w:ascii="Times New Roman" w:hAnsi="Times New Roman" w:cs="Times New Roman"/>
          <w:sz w:val="24"/>
        </w:rPr>
      </w:pPr>
      <w:r>
        <w:rPr>
          <w:rFonts w:hint="eastAsia" w:ascii="Times New Roman" w:hAnsi="Times New Roman" w:cs="Times New Roman"/>
          <w:sz w:val="24"/>
        </w:rPr>
        <w:t>[D] prevent them from further damage</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24. The author thinks that preservation of plastics is_____.</w:t>
      </w:r>
    </w:p>
    <w:p>
      <w:pPr>
        <w:spacing w:line="360" w:lineRule="auto"/>
        <w:rPr>
          <w:rFonts w:ascii="Times New Roman" w:hAnsi="Times New Roman" w:cs="Times New Roman"/>
          <w:sz w:val="24"/>
        </w:rPr>
      </w:pPr>
      <w:r>
        <w:rPr>
          <w:rFonts w:hint="eastAsia" w:ascii="Times New Roman" w:hAnsi="Times New Roman" w:cs="Times New Roman"/>
          <w:sz w:val="24"/>
        </w:rPr>
        <w:t>[A] costly</w:t>
      </w:r>
    </w:p>
    <w:p>
      <w:pPr>
        <w:spacing w:line="360" w:lineRule="auto"/>
        <w:rPr>
          <w:rFonts w:ascii="Times New Roman" w:hAnsi="Times New Roman" w:cs="Times New Roman"/>
          <w:sz w:val="24"/>
        </w:rPr>
      </w:pPr>
      <w:r>
        <w:rPr>
          <w:rFonts w:hint="eastAsia" w:ascii="Times New Roman" w:hAnsi="Times New Roman" w:cs="Times New Roman"/>
          <w:sz w:val="24"/>
        </w:rPr>
        <w:t xml:space="preserve">[B] unworthy </w:t>
      </w:r>
    </w:p>
    <w:p>
      <w:pPr>
        <w:spacing w:line="360" w:lineRule="auto"/>
        <w:rPr>
          <w:rFonts w:ascii="Times New Roman" w:hAnsi="Times New Roman" w:cs="Times New Roman"/>
          <w:sz w:val="24"/>
        </w:rPr>
      </w:pPr>
      <w:r>
        <w:rPr>
          <w:rFonts w:hint="eastAsia" w:ascii="Times New Roman" w:hAnsi="Times New Roman" w:cs="Times New Roman"/>
          <w:sz w:val="24"/>
        </w:rPr>
        <w:t>[C] unpopular</w:t>
      </w:r>
    </w:p>
    <w:p>
      <w:pPr>
        <w:spacing w:line="360" w:lineRule="auto"/>
        <w:rPr>
          <w:rFonts w:ascii="Times New Roman" w:hAnsi="Times New Roman" w:cs="Times New Roman"/>
          <w:sz w:val="24"/>
        </w:rPr>
      </w:pPr>
      <w:r>
        <w:rPr>
          <w:rFonts w:hint="eastAsia" w:ascii="Times New Roman" w:hAnsi="Times New Roman" w:cs="Times New Roman"/>
          <w:sz w:val="24"/>
        </w:rPr>
        <w:t>[D] challenging</w:t>
      </w:r>
    </w:p>
    <w:p>
      <w:pPr>
        <w:spacing w:line="360" w:lineRule="auto"/>
        <w:rPr>
          <w:rFonts w:ascii="Times New Roman" w:hAnsi="Times New Roman" w:cs="Times New Roman"/>
          <w:sz w:val="24"/>
        </w:rPr>
      </w:pPr>
    </w:p>
    <w:p>
      <w:pPr>
        <w:spacing w:line="360" w:lineRule="auto"/>
        <w:rPr>
          <w:rFonts w:hint="eastAsia" w:ascii="Times New Roman" w:hAnsi="Times New Roman" w:cs="Times New Roman"/>
          <w:sz w:val="24"/>
        </w:rPr>
      </w:pPr>
    </w:p>
    <w:p>
      <w:pPr>
        <w:spacing w:line="360" w:lineRule="auto"/>
        <w:rPr>
          <w:rFonts w:hint="eastAsia" w:ascii="Times New Roman" w:hAnsi="Times New Roman" w:cs="Times New Roman"/>
          <w:sz w:val="24"/>
        </w:rPr>
      </w:pPr>
    </w:p>
    <w:p>
      <w:pPr>
        <w:spacing w:line="360" w:lineRule="auto"/>
        <w:rPr>
          <w:rFonts w:hint="eastAsia"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25.In Ferreira</w:t>
      </w:r>
      <w:r>
        <w:rPr>
          <w:rFonts w:ascii="Times New Roman" w:hAnsi="Times New Roman" w:cs="Times New Roman"/>
          <w:sz w:val="24"/>
        </w:rPr>
        <w:t>’</w:t>
      </w:r>
      <w:r>
        <w:rPr>
          <w:rFonts w:hint="eastAsia" w:ascii="Times New Roman" w:hAnsi="Times New Roman" w:cs="Times New Roman"/>
          <w:sz w:val="24"/>
        </w:rPr>
        <w:t>s opinion, preservation of plastic artifacts_____.</w:t>
      </w:r>
    </w:p>
    <w:p>
      <w:pPr>
        <w:spacing w:line="360" w:lineRule="auto"/>
        <w:rPr>
          <w:rFonts w:ascii="Times New Roman" w:hAnsi="Times New Roman" w:cs="Times New Roman"/>
          <w:sz w:val="24"/>
        </w:rPr>
      </w:pPr>
      <w:r>
        <w:rPr>
          <w:rFonts w:hint="eastAsia" w:ascii="Times New Roman" w:hAnsi="Times New Roman" w:cs="Times New Roman"/>
          <w:sz w:val="24"/>
        </w:rPr>
        <w:t>[A] will inspire future scientific research</w:t>
      </w:r>
    </w:p>
    <w:p>
      <w:pPr>
        <w:spacing w:line="360" w:lineRule="auto"/>
        <w:rPr>
          <w:rFonts w:ascii="Times New Roman" w:hAnsi="Times New Roman" w:cs="Times New Roman"/>
          <w:sz w:val="24"/>
        </w:rPr>
      </w:pPr>
      <w:bookmarkStart w:id="24" w:name="OLE_LINK2"/>
      <w:r>
        <w:rPr>
          <w:rFonts w:hint="eastAsia" w:ascii="Times New Roman" w:hAnsi="Times New Roman" w:cs="Times New Roman"/>
          <w:sz w:val="24"/>
        </w:rPr>
        <w:t>[B]</w:t>
      </w:r>
      <w:bookmarkEnd w:id="24"/>
      <w:r>
        <w:rPr>
          <w:rFonts w:hint="eastAsia" w:ascii="Times New Roman" w:hAnsi="Times New Roman" w:cs="Times New Roman"/>
          <w:sz w:val="24"/>
        </w:rPr>
        <w:t xml:space="preserve"> has profound historical significance</w:t>
      </w:r>
    </w:p>
    <w:p>
      <w:pPr>
        <w:spacing w:line="360" w:lineRule="auto"/>
        <w:rPr>
          <w:rFonts w:ascii="Times New Roman" w:hAnsi="Times New Roman" w:cs="Times New Roman"/>
          <w:sz w:val="24"/>
        </w:rPr>
      </w:pPr>
      <w:bookmarkStart w:id="25" w:name="OLE_LINK3"/>
      <w:r>
        <w:rPr>
          <w:rFonts w:hint="eastAsia" w:ascii="Times New Roman" w:hAnsi="Times New Roman" w:cs="Times New Roman"/>
          <w:sz w:val="24"/>
        </w:rPr>
        <w:t>[C]</w:t>
      </w:r>
      <w:bookmarkEnd w:id="25"/>
      <w:r>
        <w:rPr>
          <w:rFonts w:hint="eastAsia" w:ascii="Times New Roman" w:hAnsi="Times New Roman" w:cs="Times New Roman"/>
          <w:sz w:val="24"/>
        </w:rPr>
        <w:t xml:space="preserve"> will help us separate the material ages </w:t>
      </w:r>
    </w:p>
    <w:p>
      <w:pPr>
        <w:spacing w:line="360" w:lineRule="auto"/>
        <w:rPr>
          <w:rFonts w:ascii="Times New Roman" w:hAnsi="Times New Roman" w:cs="Times New Roman"/>
          <w:sz w:val="24"/>
        </w:rPr>
      </w:pPr>
      <w:bookmarkStart w:id="26" w:name="OLE_LINK4"/>
      <w:r>
        <w:rPr>
          <w:rFonts w:hint="eastAsia" w:ascii="Times New Roman" w:hAnsi="Times New Roman" w:cs="Times New Roman"/>
          <w:sz w:val="24"/>
        </w:rPr>
        <w:t>[D]</w:t>
      </w:r>
      <w:bookmarkEnd w:id="26"/>
      <w:r>
        <w:rPr>
          <w:rFonts w:hint="eastAsia" w:ascii="Times New Roman" w:hAnsi="Times New Roman" w:cs="Times New Roman"/>
          <w:sz w:val="24"/>
        </w:rPr>
        <w:t xml:space="preserve"> has an impact on today's cultural life</w:t>
      </w: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阅读答案：ACDDB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spacing w:line="360" w:lineRule="auto"/>
        <w:rPr>
          <w:rFonts w:hint="eastAsia" w:ascii="Times New Roman" w:hAnsi="Times New Roman" w:cs="Times New Roman"/>
          <w:sz w:val="24"/>
        </w:rPr>
        <w:sectPr>
          <w:type w:val="continuous"/>
          <w:pgSz w:w="11906" w:h="16838"/>
          <w:pgMar w:top="720" w:right="720" w:bottom="720" w:left="720" w:header="851" w:footer="992" w:gutter="0"/>
          <w:cols w:equalWidth="0" w:num="2">
            <w:col w:w="5020" w:space="425"/>
            <w:col w:w="5020"/>
          </w:cols>
          <w:docGrid w:type="lines" w:linePitch="312" w:charSpace="0"/>
        </w:sectPr>
      </w:pPr>
    </w:p>
    <w:p>
      <w:pPr>
        <w:spacing w:line="360" w:lineRule="auto"/>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sz w:val="24"/>
        </w:rPr>
        <w:t xml:space="preserve">Text </w:t>
      </w:r>
      <w:r>
        <w:rPr>
          <w:rFonts w:hint="eastAsia" w:ascii="Times New Roman" w:hAnsi="Times New Roman" w:cs="Times New Roman"/>
          <w:sz w:val="24"/>
          <w:lang w:val="en-US" w:eastAsia="zh-CN"/>
        </w:rPr>
        <w:t>26</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Millennials were told that if you did well in school, got a decent degree, you would be set up for life. But that promise has been found wanting. As degrees became universal, they became devalued. Education was no longer a secure route of social mobility. Today, 28 percent of graduates in the UK are in non-graduate roles, a percentage which is double the average among OECD countries.</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is not to say that there is no point in getting a degree, but rather stress that a degree is not for everyone, that the switch from classroom to lecture hall is not an inevitable one and that other options are available.</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Thankfully, there are signs that this is already happening, with Generation Z seeking to learn 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For those for whom a degree is the desired route, consider that this may well be the first of many. In this age of generalists, it pays to have specific knowledge or skills. Postgraduates now earn 40 percent more than graduates. When more and more of us have a degree, it makes sense to have two.</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of their working life and have five different careers. Education, and not just knowledge gained on campus, will be a core part of Generation Z’s career trajectory.</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Older generations often talk about their degree in the present and personal tense: “I am a geographer”or “I am a classist.”</w:t>
      </w:r>
      <w:r>
        <w:rPr>
          <w:rFonts w:hint="eastAsia" w:ascii="Times New Roman" w:hAnsi="Times New Roman" w:cs="Times New Roman"/>
          <w:sz w:val="24"/>
        </w:rPr>
        <w:t xml:space="preserve"> </w:t>
      </w:r>
      <w:r>
        <w:rPr>
          <w:rFonts w:ascii="Times New Roman" w:hAnsi="Times New Roman" w:cs="Times New Roman"/>
          <w:sz w:val="24"/>
        </w:rPr>
        <w:t>Their sons or daughters would never say such a thing; it’s as if they already know that their degree won’t define them in the same way.</w:t>
      </w:r>
    </w:p>
    <w:p>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pPr>
        <w:rPr>
          <w:rFonts w:ascii="Times New Roman" w:hAnsi="Times New Roman" w:cs="Times New Roman"/>
          <w:sz w:val="24"/>
        </w:rPr>
      </w:pPr>
      <w:r>
        <w:rPr>
          <w:rFonts w:ascii="Times New Roman" w:hAnsi="Times New Roman" w:cs="Times New Roman"/>
          <w:sz w:val="24"/>
        </w:rPr>
        <w:br w:type="page"/>
      </w:r>
    </w:p>
    <w:p>
      <w:pPr>
        <w:spacing w:line="360" w:lineRule="auto"/>
        <w:ind w:firstLine="480" w:firstLineChars="200"/>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26.T</w:t>
      </w:r>
      <w:r>
        <w:rPr>
          <w:rFonts w:ascii="Times New Roman" w:hAnsi="Times New Roman" w:cs="Times New Roman"/>
          <w:sz w:val="24"/>
        </w:rPr>
        <w:t>he author suggests that Generation Z should</w:t>
      </w:r>
      <w:r>
        <w:rPr>
          <w:rFonts w:hint="eastAsia" w:ascii="Times New Roman" w:hAnsi="Times New Roman" w:cs="Times New Roman"/>
          <w:sz w:val="24"/>
        </w:rPr>
        <w:t>_____.</w:t>
      </w:r>
    </w:p>
    <w:p>
      <w:pPr>
        <w:spacing w:line="360" w:lineRule="auto"/>
        <w:rPr>
          <w:rFonts w:ascii="Times New Roman" w:hAnsi="Times New Roman" w:cs="Times New Roman"/>
          <w:sz w:val="24"/>
        </w:rPr>
      </w:pPr>
      <w:r>
        <w:rPr>
          <w:rFonts w:ascii="Times New Roman" w:hAnsi="Times New Roman" w:cs="Times New Roman"/>
          <w:sz w:val="24"/>
        </w:rPr>
        <w:t>[A] be careful in choosing a college</w:t>
      </w:r>
    </w:p>
    <w:p>
      <w:pPr>
        <w:spacing w:line="360" w:lineRule="auto"/>
        <w:rPr>
          <w:rFonts w:ascii="Times New Roman" w:hAnsi="Times New Roman" w:cs="Times New Roman"/>
          <w:sz w:val="24"/>
        </w:rPr>
      </w:pPr>
      <w:r>
        <w:rPr>
          <w:rFonts w:ascii="Times New Roman" w:hAnsi="Times New Roman" w:cs="Times New Roman"/>
          <w:sz w:val="24"/>
        </w:rPr>
        <w:t>[B] be diligent at each educational stage</w:t>
      </w:r>
    </w:p>
    <w:p>
      <w:pPr>
        <w:spacing w:line="360" w:lineRule="auto"/>
        <w:rPr>
          <w:rFonts w:ascii="Times New Roman" w:hAnsi="Times New Roman" w:cs="Times New Roman"/>
          <w:sz w:val="24"/>
        </w:rPr>
      </w:pPr>
      <w:r>
        <w:rPr>
          <w:rFonts w:ascii="Times New Roman" w:hAnsi="Times New Roman" w:cs="Times New Roman"/>
          <w:sz w:val="24"/>
        </w:rPr>
        <w:t xml:space="preserve">[C] reassess the necessity of college education </w:t>
      </w:r>
    </w:p>
    <w:p>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postpone their undergraduate application</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ascii="Times New Roman" w:hAnsi="Times New Roman" w:cs="Times New Roman"/>
          <w:sz w:val="24"/>
        </w:rPr>
        <w:t>27.The percentage of UK graduates in non-graduate roles reflect _____.</w:t>
      </w:r>
    </w:p>
    <w:p>
      <w:pPr>
        <w:spacing w:line="360" w:lineRule="auto"/>
        <w:rPr>
          <w:rFonts w:ascii="Times New Roman" w:hAnsi="Times New Roman" w:cs="Times New Roman"/>
          <w:sz w:val="24"/>
        </w:rPr>
      </w:pPr>
      <w:bookmarkStart w:id="27" w:name="OLE_LINK1"/>
      <w:r>
        <w:rPr>
          <w:rFonts w:ascii="Times New Roman" w:hAnsi="Times New Roman" w:cs="Times New Roman"/>
          <w:sz w:val="24"/>
        </w:rPr>
        <w:t>[A]</w:t>
      </w:r>
      <w:bookmarkEnd w:id="27"/>
      <w:r>
        <w:rPr>
          <w:rFonts w:ascii="Times New Roman" w:hAnsi="Times New Roman" w:cs="Times New Roman"/>
          <w:sz w:val="24"/>
        </w:rPr>
        <w:t xml:space="preserve"> Millennial’s opinions about work </w:t>
      </w:r>
    </w:p>
    <w:p>
      <w:pPr>
        <w:spacing w:line="360" w:lineRule="auto"/>
        <w:rPr>
          <w:rFonts w:ascii="Times New Roman" w:hAnsi="Times New Roman" w:cs="Times New Roman"/>
          <w:sz w:val="24"/>
        </w:rPr>
      </w:pPr>
      <w:r>
        <w:rPr>
          <w:rFonts w:ascii="Times New Roman" w:hAnsi="Times New Roman" w:cs="Times New Roman"/>
          <w:sz w:val="24"/>
        </w:rPr>
        <w:t xml:space="preserve">[B] the shrinking value of a degree </w:t>
      </w:r>
    </w:p>
    <w:p>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public discontent with education </w:t>
      </w:r>
    </w:p>
    <w:p>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 xml:space="preserve">the desired route of social mobility </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ascii="Times New Roman" w:hAnsi="Times New Roman" w:cs="Times New Roman"/>
          <w:sz w:val="24"/>
        </w:rPr>
        <w:t>28.The author considers it a good sign that_____.</w:t>
      </w:r>
    </w:p>
    <w:p>
      <w:pPr>
        <w:spacing w:line="360" w:lineRule="auto"/>
        <w:rPr>
          <w:rFonts w:ascii="Times New Roman" w:hAnsi="Times New Roman" w:cs="Times New Roman"/>
          <w:sz w:val="24"/>
        </w:rPr>
      </w:pPr>
      <w:r>
        <w:rPr>
          <w:rFonts w:ascii="Times New Roman" w:hAnsi="Times New Roman" w:cs="Times New Roman"/>
          <w:sz w:val="24"/>
        </w:rPr>
        <w:t>[A] generation Z are seeking to ear</w:t>
      </w:r>
      <w:r>
        <w:rPr>
          <w:rFonts w:hint="eastAsia" w:ascii="Times New Roman" w:hAnsi="Times New Roman" w:cs="Times New Roman"/>
          <w:sz w:val="24"/>
        </w:rPr>
        <w:t>n</w:t>
      </w:r>
      <w:r>
        <w:rPr>
          <w:rFonts w:ascii="Times New Roman" w:hAnsi="Times New Roman" w:cs="Times New Roman"/>
          <w:sz w:val="24"/>
        </w:rPr>
        <w:t xml:space="preserve"> a decent degree</w:t>
      </w:r>
    </w:p>
    <w:p>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school leavers are willing to be skilled workers</w:t>
      </w:r>
    </w:p>
    <w:p>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emplo</w:t>
      </w:r>
      <w:r>
        <w:rPr>
          <w:rFonts w:hint="eastAsia" w:ascii="Times New Roman" w:hAnsi="Times New Roman" w:cs="Times New Roman"/>
          <w:sz w:val="24"/>
        </w:rPr>
        <w:t>y</w:t>
      </w:r>
      <w:r>
        <w:rPr>
          <w:rFonts w:ascii="Times New Roman" w:hAnsi="Times New Roman" w:cs="Times New Roman"/>
          <w:sz w:val="24"/>
        </w:rPr>
        <w:t xml:space="preserve">ers are taking a realistic attitude to degrees </w:t>
      </w:r>
    </w:p>
    <w:p>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parents are changing their minds about education</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ascii="Times New Roman" w:hAnsi="Times New Roman" w:cs="Times New Roman"/>
          <w:sz w:val="24"/>
        </w:rPr>
        <w:t>29.It is advised in Paragraph</w:t>
      </w:r>
      <w:r>
        <w:rPr>
          <w:rFonts w:hint="eastAsia" w:ascii="Times New Roman" w:hAnsi="Times New Roman" w:cs="Times New Roman"/>
          <w:sz w:val="24"/>
        </w:rPr>
        <w:t xml:space="preserve"> </w:t>
      </w:r>
      <w:r>
        <w:rPr>
          <w:rFonts w:ascii="Times New Roman" w:hAnsi="Times New Roman" w:cs="Times New Roman"/>
          <w:sz w:val="24"/>
        </w:rPr>
        <w:t>5</w:t>
      </w:r>
      <w:r>
        <w:rPr>
          <w:rFonts w:hint="eastAsia" w:ascii="Times New Roman" w:hAnsi="Times New Roman" w:cs="Times New Roman"/>
          <w:sz w:val="24"/>
        </w:rPr>
        <w:t xml:space="preserve"> </w:t>
      </w:r>
      <w:r>
        <w:rPr>
          <w:rFonts w:ascii="Times New Roman" w:hAnsi="Times New Roman" w:cs="Times New Roman"/>
          <w:sz w:val="24"/>
        </w:rPr>
        <w:t>that those with one degree should_____.</w:t>
      </w:r>
    </w:p>
    <w:p>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 xml:space="preserve">make an early decision on their career </w:t>
      </w:r>
    </w:p>
    <w:p>
      <w:pPr>
        <w:spacing w:line="360" w:lineRule="auto"/>
        <w:rPr>
          <w:rFonts w:ascii="Times New Roman" w:hAnsi="Times New Roman" w:cs="Times New Roman"/>
          <w:sz w:val="24"/>
        </w:rPr>
      </w:pPr>
      <w:r>
        <w:rPr>
          <w:rFonts w:ascii="Times New Roman" w:hAnsi="Times New Roman" w:cs="Times New Roman"/>
          <w:sz w:val="24"/>
        </w:rPr>
        <w:t>[B] attend on the job training programs</w:t>
      </w:r>
    </w:p>
    <w:p>
      <w:pPr>
        <w:spacing w:line="360" w:lineRule="auto"/>
        <w:rPr>
          <w:rFonts w:ascii="Times New Roman" w:hAnsi="Times New Roman" w:cs="Times New Roman"/>
          <w:sz w:val="24"/>
        </w:rPr>
      </w:pPr>
      <w:r>
        <w:rPr>
          <w:rFonts w:ascii="Times New Roman" w:hAnsi="Times New Roman" w:cs="Times New Roman"/>
          <w:sz w:val="24"/>
        </w:rPr>
        <w:t xml:space="preserve">[C] team up with high-paid postgraduates </w:t>
      </w:r>
    </w:p>
    <w:p>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further their studies in a specific field</w:t>
      </w:r>
    </w:p>
    <w:p>
      <w:pPr>
        <w:spacing w:line="360" w:lineRule="auto"/>
        <w:rPr>
          <w:rFonts w:ascii="Times New Roman" w:hAnsi="Times New Roman" w:cs="Times New Roman"/>
          <w:sz w:val="24"/>
        </w:rPr>
      </w:pPr>
    </w:p>
    <w:p>
      <w:pPr>
        <w:spacing w:line="360" w:lineRule="auto"/>
        <w:rPr>
          <w:rFonts w:ascii="Times New Roman" w:hAnsi="Times New Roman" w:cs="Times New Roman"/>
          <w:sz w:val="24"/>
        </w:rPr>
      </w:pPr>
      <w:r>
        <w:rPr>
          <w:rFonts w:hint="eastAsia" w:ascii="Times New Roman" w:hAnsi="Times New Roman" w:cs="Times New Roman"/>
          <w:sz w:val="24"/>
        </w:rPr>
        <w:t>30.</w:t>
      </w:r>
      <w:r>
        <w:rPr>
          <w:rFonts w:ascii="Times New Roman" w:hAnsi="Times New Roman" w:cs="Times New Roman"/>
          <w:sz w:val="24"/>
        </w:rPr>
        <w:t>What can be concluded about Generation Z from the last two paragraphs?</w:t>
      </w:r>
    </w:p>
    <w:p>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Lifelong lear</w:t>
      </w:r>
      <w:r>
        <w:rPr>
          <w:rFonts w:hint="eastAsia" w:ascii="Times New Roman" w:hAnsi="Times New Roman" w:cs="Times New Roman"/>
          <w:sz w:val="24"/>
        </w:rPr>
        <w:t>n</w:t>
      </w:r>
      <w:r>
        <w:rPr>
          <w:rFonts w:ascii="Times New Roman" w:hAnsi="Times New Roman" w:cs="Times New Roman"/>
          <w:sz w:val="24"/>
        </w:rPr>
        <w:t xml:space="preserve">ing will define them. </w:t>
      </w:r>
    </w:p>
    <w:p>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 xml:space="preserve">They will make qualified educators. </w:t>
      </w:r>
    </w:p>
    <w:p>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Depress will no longer appeal them. </w:t>
      </w:r>
    </w:p>
    <w:p>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They will have a limited choice of jobs.</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阅读答案：CBCDA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rPr>
          <w:rFonts w:hint="default"/>
          <w:lang w:val="en-US" w:eastAsia="zh-CN"/>
        </w:rPr>
      </w:pPr>
    </w:p>
    <w:sectPr>
      <w:type w:val="continuous"/>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lang w:val="en-US" w:eastAsia="zh-CN"/>
      </w:rPr>
    </w:pPr>
    <w:r>
      <w:rPr>
        <w:rFonts w:hint="eastAsia"/>
        <w:lang w:val="en-US" w:eastAsia="zh-CN"/>
      </w:rPr>
      <w:t xml:space="preserve">2023版考研阅读讲义           唯一听课方式：B站我是瑞斯拜 </w:t>
    </w:r>
  </w:p>
  <w:p>
    <w:pPr>
      <w:pStyle w:val="5"/>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11E1F8"/>
    <w:multiLevelType w:val="singleLevel"/>
    <w:tmpl w:val="4B11E1F8"/>
    <w:lvl w:ilvl="0" w:tentative="0">
      <w:start w:val="4"/>
      <w:numFmt w:val="upperLetter"/>
      <w:lvlText w:val="[%1]"/>
      <w:lvlJc w:val="left"/>
      <w:pPr>
        <w:tabs>
          <w:tab w:val="left" w:pos="312"/>
        </w:tabs>
      </w:pPr>
    </w:lvl>
  </w:abstractNum>
  <w:abstractNum w:abstractNumId="1">
    <w:nsid w:val="5284261C"/>
    <w:multiLevelType w:val="singleLevel"/>
    <w:tmpl w:val="5284261C"/>
    <w:lvl w:ilvl="0" w:tentative="0">
      <w:start w:val="3"/>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74135C77"/>
    <w:rsid w:val="062072DB"/>
    <w:rsid w:val="074071F3"/>
    <w:rsid w:val="133C0393"/>
    <w:rsid w:val="13B1004F"/>
    <w:rsid w:val="15CF296D"/>
    <w:rsid w:val="1F5C618E"/>
    <w:rsid w:val="1FBC59E7"/>
    <w:rsid w:val="22656665"/>
    <w:rsid w:val="289402D6"/>
    <w:rsid w:val="2EF200F3"/>
    <w:rsid w:val="31737478"/>
    <w:rsid w:val="33274059"/>
    <w:rsid w:val="35A310B7"/>
    <w:rsid w:val="3A0F1D4F"/>
    <w:rsid w:val="3DBD34EC"/>
    <w:rsid w:val="3E4016CA"/>
    <w:rsid w:val="419867B3"/>
    <w:rsid w:val="424F122B"/>
    <w:rsid w:val="45555958"/>
    <w:rsid w:val="4A3E11AD"/>
    <w:rsid w:val="4C7D7030"/>
    <w:rsid w:val="504957C5"/>
    <w:rsid w:val="507E63C7"/>
    <w:rsid w:val="51DC3E5B"/>
    <w:rsid w:val="53EC7125"/>
    <w:rsid w:val="54EE1BA8"/>
    <w:rsid w:val="5B4D3719"/>
    <w:rsid w:val="5EAF70D0"/>
    <w:rsid w:val="5F075AD4"/>
    <w:rsid w:val="6013249C"/>
    <w:rsid w:val="622F1F2B"/>
    <w:rsid w:val="646C5108"/>
    <w:rsid w:val="6B332101"/>
    <w:rsid w:val="6BF677B0"/>
    <w:rsid w:val="6D8F7B53"/>
    <w:rsid w:val="727662A7"/>
    <w:rsid w:val="74135C77"/>
    <w:rsid w:val="7442262C"/>
    <w:rsid w:val="74C47FA1"/>
    <w:rsid w:val="77B153C1"/>
    <w:rsid w:val="788E7DD5"/>
    <w:rsid w:val="7AC10C75"/>
    <w:rsid w:val="7BE667ED"/>
    <w:rsid w:val="7CEB704C"/>
    <w:rsid w:val="7EC12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1"/>
    <w:pPr>
      <w:ind w:left="531" w:hanging="344"/>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17272</Words>
  <Characters>83785</Characters>
  <Lines>0</Lines>
  <Paragraphs>0</Paragraphs>
  <TotalTime>0</TotalTime>
  <ScaleCrop>false</ScaleCrop>
  <LinksUpToDate>false</LinksUpToDate>
  <CharactersWithSpaces>100083</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2021-06-25T01:10:00Z</dcterms:created>
  <dc:creator>Ray</dc:creator>
  <cp:lastModifiedBy>Ray</cp:lastModifiedBy>
  <dcterms:modified xsi:type="dcterms:W3CDTF">2022-08-31T06:11:24Z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97DB1CFEF2194A2C8B8857D56E862DAC</vt:lpwstr>
  </property>
</Properties>
</file>