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299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left"/>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1.21</w:t>
      </w:r>
      <w:r>
        <w:rPr>
          <w:rFonts w:hint="default" w:ascii="Times New Roman" w:hAnsi="Times New Roman" w:eastAsia="宋体" w:cs="Times New Roman"/>
          <w:sz w:val="21"/>
          <w:szCs w:val="21"/>
          <w:lang w:eastAsia="zh-CN"/>
        </w:rPr>
        <w:t>】</w:t>
      </w:r>
    </w:p>
    <w:p w14:paraId="2D5E1A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1.21</w:t>
      </w:r>
      <w:r>
        <w:rPr>
          <w:rFonts w:hint="default" w:ascii="Times New Roman" w:hAnsi="Times New Roman" w:eastAsia="宋体" w:cs="Times New Roman"/>
          <w:b/>
          <w:bCs/>
          <w:sz w:val="21"/>
          <w:szCs w:val="21"/>
        </w:rPr>
        <w:t>每日一篇</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 xml:space="preserve"> 熊猫外刊精读</w:t>
      </w:r>
    </w:p>
    <w:p w14:paraId="10157D0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default" w:ascii="Times New Roman" w:hAnsi="Times New Roman" w:eastAsia="宋体" w:cs="Times New Roman"/>
          <w:b/>
          <w:bCs/>
          <w:sz w:val="21"/>
          <w:szCs w:val="21"/>
          <w:lang w:val="en-US" w:eastAsia="zh-CN"/>
        </w:rPr>
      </w:pPr>
    </w:p>
    <w:p w14:paraId="5322B45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Emerging markets：Bar raised</w:t>
      </w:r>
    </w:p>
    <w:p w14:paraId="446DD15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p>
    <w:p w14:paraId="0ADBA1A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Vietnam's growth is fast--but fragile</w:t>
      </w:r>
    </w:p>
    <w:p w14:paraId="4FBE3BF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lang w:eastAsia="zh-CN"/>
        </w:rPr>
      </w:pPr>
    </w:p>
    <w:p w14:paraId="09F054F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【1】</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Size, it seems, matters in Hanoi. On December 19th workers broke ground on the Dong Son Bronze Drum Stadium, a 135,000-seat sports complex named after the prehistoric bronze-casters who populated Vietnam from 1000BC. Vingroup,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conglomerate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developing it, says that the stadium will boast the world’s second-biggest seating capacity and its biggest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retractable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-roof system. The arena will be at the centre of a $35bn sports-themed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megaproject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slated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for completion by 2035. Its vastness seems appropriate for the “era of national rise” that To Lam, the country’s leader, has declared.</w:t>
      </w:r>
    </w:p>
    <w:p w14:paraId="576CFBC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3C56C8F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【2】</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Indeed, it is not the only megaproject under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construction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complex</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is one of hundreds to have been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blessed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by Vietnam’s communists in December. Others include a $32bn road-building effort along the country’s northern Red River and a new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motorway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connecting it to Cambodia. Older projects are also coming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fruition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new international airport near Ho Chi Minh City welcomed its first flight on December 19th (a plane full of party cadres). All told, state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infrastructure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spending has risen by 27% this year, to 845trn dong ($32bn, or 7% of GDP), and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budget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for 2026 suggests it will increase by another 34% next year. Such spending would be on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par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with China’s public-investment figures during its development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heyday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the 2000s and early 2010s.</w:t>
      </w:r>
    </w:p>
    <w:p w14:paraId="61CCDB0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711358C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【3】</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largesse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is part of a plan to meet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sky-high</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growth targets, a feature of Mr Lam’s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ambitious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reform</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drive. It is being funded by fast-growing tax revenues, which rose by 30% last year alone, and thus will not harm the country’s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fiscal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position. Vietnam’s economy,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bolstered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surging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exports, grew by 8% in 2025—fast but just short of the year’s target of 8.3-8.5%. Although this year’s target of 10% looks even harder to achieve, there are reasons for optimism. Mr Lam’s biggest reforms have yet to take full effect. They include Resolution 68, an attempt to boost the private sector through tax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perks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lighter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bureaucracy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Regulators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have been told to take more risk when approving projects.</w:t>
      </w:r>
    </w:p>
    <w:p w14:paraId="3D51A37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076E2F8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【4】</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Investors are buying in to the changes. After several downcast years, Vietnam’s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benchmark</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stock index last year rose by 37% in dollar terms, putting it far ahead of rivals (see chart). One reason is technical: in October FTSE Russell, an index publisher, upgraded Vietnam from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frontier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market to an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emerging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one. The change, set to take effect late this year, could attract $1.4bn in capital from passive investors in EM funds, estimates Goldman Sachs, a bank. But the bigger reason for the success is fundamental. Growth looks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sturdy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supported by rising exports, growing industrial production and even a recovery among once-cautious Vietnamese consumers.</w:t>
      </w:r>
    </w:p>
    <w:p w14:paraId="77085BD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19C73F7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【5】</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All the same, there is a sting in the tail. Three “Vin” stocks—Vingroup; Vinhomes,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conglomerate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’s property arm; and Vincom Retail, which runs shopping centres—accounted for almost three-quarters of last year’s stockmarket gains. Without this trio of firms, the index would have risen by just 11%.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infrastructure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push is also top-heavy, led by a handful of well-connected conglomerates. This is by design. Vietnam’s leaders are thought to see South Korea’s chaebols as a model. Resolution 68 spells out Vietnam’s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ambition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foster 20 national champions by 2030.</w:t>
      </w:r>
    </w:p>
    <w:p w14:paraId="0D549E9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DA430E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Times New Roman" w:hAnsi="Times New Roman" w:eastAsia="宋体" w:cs="Times New Roman"/>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【6】</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It is unclear how Vietnam’s conglomerates would be held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accountable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should they, say, fail to deliver on important projects. Some are shy about taking risks without state backing. On December 25th, for instance, Vingroup backed out of a $67bn project to build a railway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spanning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Vietnam, despite having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vowed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not to. It had asked for 80% of the project to be funded by an interest-free loan from the state, which refused. Other conglomerates may step in to fill the breach, but the same dynamic would remain. Vietnam’s economic growth, although impressive, 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vulnerable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whims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a few firms.</w:t>
      </w:r>
      <w:r>
        <w:rPr>
          <w:rFonts w:hint="eastAsia" w:ascii="Times New Roman" w:hAnsi="Times New Roman" w:eastAsia="宋体" w:cs="Times New Roman"/>
          <w:i w:val="0"/>
          <w:iCs w:val="0"/>
          <w:caps w:val="0"/>
          <w:color w:val="000000"/>
          <w:spacing w:val="0"/>
          <w:kern w:val="0"/>
          <w:sz w:val="24"/>
          <w:szCs w:val="24"/>
          <w:shd w:val="clear" w:fill="FFFFFF"/>
          <w:lang w:val="en-US" w:eastAsia="zh-CN" w:bidi="ar"/>
        </w:rPr>
        <w:t>本课程来自公众号：熊猫外刊精读</w:t>
      </w:r>
    </w:p>
    <w:p w14:paraId="3441B70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p>
    <w:p w14:paraId="72A50FE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长难句精讲</w:t>
      </w:r>
    </w:p>
    <w:p w14:paraId="63AA0DA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1. 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On December 19th</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workers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broke ground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on the Dong Son Bronze Drum Stadium</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iCs/>
          <w:caps w:val="0"/>
          <w:color w:val="6C757D"/>
          <w:spacing w:val="0"/>
          <w:kern w:val="0"/>
          <w:sz w:val="24"/>
          <w:szCs w:val="24"/>
          <w:shd w:val="clear" w:fill="FFFFFF"/>
          <w:lang w:val="en-US" w:eastAsia="zh-CN" w:bidi="ar"/>
        </w:rPr>
        <w:t>a 135,000-seat sports complex</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named after the prehistoric bronze-casters who populated Vietnam from 1000BC</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49E9315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On December 19th 是时间状语，表明动作发生的时间。,a 135,000-seat sports complex 是同位语，对 Dong Son Bronze Drum Stadium 进行解释说明。,named after... 是过去分词短语作后置定语，修饰 sports complex。,who populated Vietnam from 1000BC 是定语从句，修饰 bronze-casters。</w:t>
      </w:r>
    </w:p>
    <w:p w14:paraId="582881C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12月19日，工人们开始动工建设铜鼓体育场，这是一个拥有13.5万个座位的体育综合设施，以公元前1000年居住在越南的史前青铜器铸造者命名。</w:t>
      </w:r>
    </w:p>
    <w:p w14:paraId="1D22747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2. 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Vingroup</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iCs/>
          <w:caps w:val="0"/>
          <w:color w:val="6C757D"/>
          <w:spacing w:val="0"/>
          <w:kern w:val="0"/>
          <w:sz w:val="24"/>
          <w:szCs w:val="24"/>
          <w:shd w:val="clear" w:fill="FFFFFF"/>
          <w:lang w:val="en-US" w:eastAsia="zh-CN" w:bidi="ar"/>
        </w:rPr>
        <w:t>the conglomerate developing it</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says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that the stadium will boast the world’s second-biggest seating capacity and its biggest retractable-roof system</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76D82C4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the conglomerate developing it 是同位语，对 Vingroup 进行解释说明。,that 引导宾语从句，作 says 的宾语。</w:t>
      </w:r>
    </w:p>
    <w:p w14:paraId="0B4F9CD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开发该体育场的企业集团 Vingroup 表示，该体育场将拥有世界第二大的座位容量和最大的可伸缩屋顶系统。</w:t>
      </w:r>
    </w:p>
    <w:p w14:paraId="3BE63A5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3. 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The change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iCs/>
          <w:caps w:val="0"/>
          <w:color w:val="6C757D"/>
          <w:spacing w:val="0"/>
          <w:kern w:val="0"/>
          <w:sz w:val="24"/>
          <w:szCs w:val="24"/>
          <w:shd w:val="clear" w:fill="FFFFFF"/>
          <w:lang w:val="en-US" w:eastAsia="zh-CN" w:bidi="ar"/>
        </w:rPr>
        <w:t>set to take effect late this year</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could attract</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$1.4bn in capital</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from passive investors in EM funds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iCs/>
          <w:caps w:val="0"/>
          <w:color w:val="6C757D"/>
          <w:spacing w:val="0"/>
          <w:kern w:val="0"/>
          <w:sz w:val="24"/>
          <w:szCs w:val="24"/>
          <w:shd w:val="clear" w:fill="FFFFFF"/>
          <w:lang w:val="en-US" w:eastAsia="zh-CN" w:bidi="ar"/>
        </w:rPr>
        <w:t>estimates Goldman Sachs, a bank</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4AF8F9F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set to take effect late this year 是过去分词短语作后置定语，修饰 The change。,estimates Goldman Sachs, a bank 是插入语，正常语序为 Goldman Sachs, a bank estimates。</w:t>
      </w:r>
    </w:p>
    <w:p w14:paraId="63F34FE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一家银行高盛估计，这一将于今年晚些时候生效的变化可能会从新兴市场基金的被动投资者那里吸引14亿美元的资金。</w:t>
      </w:r>
    </w:p>
    <w:p w14:paraId="567D4A4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4. 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Growth</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looks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sturdy</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supported by rising exports, growing industrial production and even a recovery among once-cautious Vietnamese consumers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4998738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supported by... 是过去分词短语作后置定语，修饰 Growth。</w:t>
      </w:r>
    </w:p>
    <w:p w14:paraId="0DC1216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在出口增长、工业生产增长甚至一度谨慎的越南消费者复苏的支持下，经济增长看起来强劲。</w:t>
      </w:r>
    </w:p>
    <w:p w14:paraId="7283A70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重点短语</w:t>
      </w:r>
    </w:p>
    <w:p w14:paraId="26D8E33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1. "broke ground"</w:t>
      </w:r>
    </w:p>
    <w:p w14:paraId="34BAEDC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On December 19th workers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broke ground</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on the Dong Son Bronze Drum Stadium, a 135,000-seat sports complex named after the prehistoric bronze-casters who populated Vietnam from 1000BC.</w:t>
      </w:r>
    </w:p>
    <w:p w14:paraId="494C72C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破土动工，开始建设。用于描述建筑、工程项目等开始施工的情况</w:t>
      </w:r>
    </w:p>
    <w:p w14:paraId="24C3D37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company broke ground on a new factory last month.</w:t>
      </w:r>
    </w:p>
    <w:p w14:paraId="10E68C2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该公司上个月开始动工建设一座新工厂</w:t>
      </w:r>
    </w:p>
    <w:p w14:paraId="3AD679D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2. "coming to fruition"</w:t>
      </w:r>
    </w:p>
    <w:p w14:paraId="49C4D21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Older projects are also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coming to fruition</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w:t>
      </w:r>
    </w:p>
    <w:p w14:paraId="745EB7A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取得成果，实现。表示计划、项目等经过努力后开始有成效</w:t>
      </w:r>
    </w:p>
    <w:p w14:paraId="32A6A4B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After years of hard work, their research is finally coming to fruition.</w:t>
      </w:r>
    </w:p>
    <w:p w14:paraId="0D9B381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经过多年的努力，他们的研究终于取得了成果</w:t>
      </w:r>
    </w:p>
    <w:p w14:paraId="0DE67D7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3. "bolstered by"</w:t>
      </w:r>
    </w:p>
    <w:p w14:paraId="782A632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Vietnam’s economy,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bolstered by</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surging exports, grew by 8% in 2025—fast but just short of the year’s target of 8.3-8.5%.</w:t>
      </w:r>
    </w:p>
    <w:p w14:paraId="416E62A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被……支持、加强。用于说明某事物是在另一事物的支撑下得以发展</w:t>
      </w:r>
    </w:p>
    <w:p w14:paraId="0755A4D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team's performance was bolstered by the new coach's strategies.</w:t>
      </w:r>
    </w:p>
    <w:p w14:paraId="1754D41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新教练的策略支持了球队的表现</w:t>
      </w:r>
    </w:p>
    <w:p w14:paraId="29E58C7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4. "buying in to"</w:t>
      </w:r>
    </w:p>
    <w:p w14:paraId="1143883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Investors are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buying in to</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the changes.</w:t>
      </w:r>
    </w:p>
    <w:p w14:paraId="5AF9028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接受，认可。表示对某种观点、计划等的认同并参与其中</w:t>
      </w:r>
    </w:p>
    <w:p w14:paraId="39D367E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Many people are buying in to the idea of sustainable living.</w:t>
      </w:r>
    </w:p>
    <w:p w14:paraId="6ECF796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许多人都接受了可持续生活的理念</w:t>
      </w:r>
    </w:p>
    <w:p w14:paraId="6218D9A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5. "sting in the tail"</w:t>
      </w:r>
    </w:p>
    <w:p w14:paraId="686E2B7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All the same, there is a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sting in the tail</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w:t>
      </w:r>
    </w:p>
    <w:p w14:paraId="7857E29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意外的不利因素，隐患。指在看似顺利的情况中存在的潜在问题</w:t>
      </w:r>
    </w:p>
    <w:p w14:paraId="3B39396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deal seemed great, but there was a sting in the tail - hidden fees.</w:t>
      </w:r>
    </w:p>
    <w:p w14:paraId="12732A7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这笔交易看起来很棒，但有个隐患 - 隐藏费用</w:t>
      </w:r>
    </w:p>
    <w:p w14:paraId="4AA034E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DF7"/>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6F4E37"/>
          <w:spacing w:val="0"/>
          <w:sz w:val="24"/>
          <w:szCs w:val="24"/>
        </w:rPr>
      </w:pPr>
      <w:r>
        <w:rPr>
          <w:rFonts w:hint="default" w:ascii="Times New Roman" w:hAnsi="Times New Roman" w:eastAsia="宋体" w:cs="Times New Roman"/>
          <w:b/>
          <w:bCs/>
          <w:i w:val="0"/>
          <w:iCs w:val="0"/>
          <w:caps w:val="0"/>
          <w:color w:val="6F4E37"/>
          <w:spacing w:val="0"/>
          <w:kern w:val="0"/>
          <w:sz w:val="24"/>
          <w:szCs w:val="24"/>
          <w:shd w:val="clear" w:fill="FFFDF7"/>
          <w:lang w:val="en-US" w:eastAsia="zh-CN" w:bidi="ar"/>
        </w:rPr>
        <w:t>写作技巧</w:t>
      </w:r>
    </w:p>
    <w:p w14:paraId="1FF1E13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8C6239"/>
          <w:spacing w:val="0"/>
          <w:sz w:val="21"/>
          <w:szCs w:val="21"/>
        </w:rPr>
      </w:pPr>
      <w:r>
        <w:rPr>
          <w:rFonts w:hint="default" w:ascii="Times New Roman" w:hAnsi="Times New Roman" w:eastAsia="宋体" w:cs="Times New Roman"/>
          <w:b/>
          <w:bCs/>
          <w:i w:val="0"/>
          <w:iCs w:val="0"/>
          <w:caps w:val="0"/>
          <w:color w:val="8C6239"/>
          <w:spacing w:val="0"/>
          <w:kern w:val="0"/>
          <w:sz w:val="21"/>
          <w:szCs w:val="21"/>
          <w:shd w:val="clear" w:fill="FFFFFF"/>
          <w:lang w:val="en-US" w:eastAsia="zh-CN" w:bidi="ar"/>
        </w:rPr>
        <w:t>举例-归纳</w:t>
      </w:r>
    </w:p>
    <w:p w14:paraId="54550DE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1"/>
          <w:szCs w:val="21"/>
        </w:rPr>
      </w:pPr>
      <w:r>
        <w:rPr>
          <w:rFonts w:hint="default" w:ascii="Times New Roman" w:hAnsi="Times New Roman" w:eastAsia="宋体" w:cs="Times New Roman"/>
          <w:i w:val="0"/>
          <w:iCs w:val="0"/>
          <w:caps w:val="0"/>
          <w:color w:val="2C3E50"/>
          <w:spacing w:val="0"/>
          <w:kern w:val="0"/>
          <w:sz w:val="21"/>
          <w:szCs w:val="21"/>
          <w:shd w:val="clear" w:fill="FFFFFF"/>
          <w:lang w:val="en-US" w:eastAsia="zh-CN" w:bidi="ar"/>
        </w:rPr>
        <w:t>Three “Vin” stocks—Vingroup; Vinhomes, the conglomerate’s property arm; and Vincom Retail, which runs shopping centres—accounted for almost three-quarters of last year’s stockmarket gains. Without this trio of firms, the index would have risen by just 11%.</w:t>
      </w:r>
    </w:p>
    <w:p w14:paraId="5AEE7B0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19"/>
          <w:szCs w:val="19"/>
        </w:rPr>
      </w:pPr>
      <w:r>
        <w:rPr>
          <w:rFonts w:hint="default" w:ascii="Times New Roman" w:hAnsi="Times New Roman" w:eastAsia="宋体" w:cs="Times New Roman"/>
          <w:i w:val="0"/>
          <w:iCs w:val="0"/>
          <w:caps w:val="0"/>
          <w:color w:val="495057"/>
          <w:spacing w:val="0"/>
          <w:kern w:val="0"/>
          <w:sz w:val="19"/>
          <w:szCs w:val="19"/>
          <w:shd w:val="clear" w:fill="FFFFFF"/>
          <w:lang w:val="en-US" w:eastAsia="zh-CN" w:bidi="ar"/>
        </w:rPr>
        <w:t>要点1：先举Vingroup等三个公司的例子；要点2：归纳出没有这三家公司股市涨幅小的结论</w:t>
      </w:r>
    </w:p>
    <w:p w14:paraId="562936B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19"/>
          <w:szCs w:val="19"/>
        </w:rPr>
      </w:pPr>
      <w:r>
        <w:rPr>
          <w:rFonts w:hint="default" w:ascii="Times New Roman" w:hAnsi="Times New Roman" w:eastAsia="宋体" w:cs="Times New Roman"/>
          <w:i w:val="0"/>
          <w:iCs w:val="0"/>
          <w:caps w:val="0"/>
          <w:color w:val="6C757D"/>
          <w:spacing w:val="0"/>
          <w:kern w:val="0"/>
          <w:sz w:val="19"/>
          <w:szCs w:val="19"/>
          <w:shd w:val="clear" w:fill="FFFFFF"/>
          <w:lang w:val="en-US" w:eastAsia="zh-CN" w:bidi="ar"/>
        </w:rPr>
        <w:t>写作时可先列举具体事例，再总结归纳出普遍规律或观点，增强说服力</w:t>
      </w:r>
    </w:p>
    <w:p w14:paraId="51B8940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段落大意：</w:t>
      </w:r>
    </w:p>
    <w:p w14:paraId="6DF1CB1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【1】</w:t>
      </w:r>
      <w:r>
        <w:rPr>
          <w:rFonts w:hint="eastAsia" w:ascii="宋体" w:hAnsi="宋体" w:eastAsia="宋体" w:cs="宋体"/>
          <w:i w:val="0"/>
          <w:iCs w:val="0"/>
          <w:caps w:val="0"/>
          <w:color w:val="2C3E50"/>
          <w:spacing w:val="0"/>
          <w:kern w:val="0"/>
          <w:sz w:val="22"/>
          <w:szCs w:val="22"/>
          <w:shd w:val="clear" w:fill="FFFFFF"/>
          <w:lang w:val="en-US" w:eastAsia="zh-CN" w:bidi="ar"/>
        </w:rPr>
        <w:t>12月19日，越南河内动工建设可容纳13.5万人的铜鼓体育场，其规模宏大，契合越南“国家崛起时代”。</w:t>
      </w:r>
    </w:p>
    <w:p w14:paraId="5DAE6CB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【2】</w:t>
      </w:r>
      <w:r>
        <w:rPr>
          <w:rFonts w:hint="eastAsia" w:ascii="宋体" w:hAnsi="宋体" w:eastAsia="宋体" w:cs="宋体"/>
          <w:i w:val="0"/>
          <w:iCs w:val="0"/>
          <w:caps w:val="0"/>
          <w:color w:val="2C3E50"/>
          <w:spacing w:val="0"/>
          <w:kern w:val="0"/>
          <w:sz w:val="22"/>
          <w:szCs w:val="22"/>
          <w:shd w:val="clear" w:fill="FFFFFF"/>
          <w:lang w:val="en-US" w:eastAsia="zh-CN" w:bidi="ar"/>
        </w:rPr>
        <w:t>越南有众多在建大型项目，今年基建支出大增，明年预算也将增加，规模堪比中国发展鼎盛期。</w:t>
      </w:r>
    </w:p>
    <w:p w14:paraId="6E8AF3C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【3】</w:t>
      </w:r>
      <w:r>
        <w:rPr>
          <w:rFonts w:hint="eastAsia" w:ascii="宋体" w:hAnsi="宋体" w:eastAsia="宋体" w:cs="宋体"/>
          <w:i w:val="0"/>
          <w:iCs w:val="0"/>
          <w:caps w:val="0"/>
          <w:color w:val="2C3E50"/>
          <w:spacing w:val="0"/>
          <w:kern w:val="0"/>
          <w:sz w:val="22"/>
          <w:szCs w:val="22"/>
          <w:shd w:val="clear" w:fill="FFFFFF"/>
          <w:lang w:val="en-US" w:eastAsia="zh-CN" w:bidi="ar"/>
        </w:rPr>
        <w:t>越南通过大规模基建等计划实现高增长目标，经济增长虽快但未达目标，改革尚未完全生效，不过投资者仍看好。</w:t>
      </w:r>
    </w:p>
    <w:p w14:paraId="5B57663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【4】</w:t>
      </w:r>
      <w:r>
        <w:rPr>
          <w:rFonts w:hint="eastAsia" w:ascii="宋体" w:hAnsi="宋体" w:eastAsia="宋体" w:cs="宋体"/>
          <w:i w:val="0"/>
          <w:iCs w:val="0"/>
          <w:caps w:val="0"/>
          <w:color w:val="2C3E50"/>
          <w:spacing w:val="0"/>
          <w:kern w:val="0"/>
          <w:sz w:val="22"/>
          <w:szCs w:val="22"/>
          <w:shd w:val="clear" w:fill="FFFFFF"/>
          <w:lang w:val="en-US" w:eastAsia="zh-CN" w:bidi="ar"/>
        </w:rPr>
        <w:t>越南股市表现出色，原因包括指数升级和基本面良好，经济增长有支撑。</w:t>
      </w:r>
    </w:p>
    <w:p w14:paraId="6B523A5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【5】</w:t>
      </w:r>
      <w:r>
        <w:rPr>
          <w:rFonts w:hint="eastAsia" w:ascii="宋体" w:hAnsi="宋体" w:eastAsia="宋体" w:cs="宋体"/>
          <w:i w:val="0"/>
          <w:iCs w:val="0"/>
          <w:caps w:val="0"/>
          <w:color w:val="2C3E50"/>
          <w:spacing w:val="0"/>
          <w:kern w:val="0"/>
          <w:sz w:val="22"/>
          <w:szCs w:val="22"/>
          <w:shd w:val="clear" w:fill="FFFFFF"/>
          <w:lang w:val="en-US" w:eastAsia="zh-CN" w:bidi="ar"/>
        </w:rPr>
        <w:t>越南股市上涨主要靠三家企业，基建也由少数企业主导，效仿韩国财阀模式。</w:t>
      </w:r>
    </w:p>
    <w:p w14:paraId="529AE99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【6】</w:t>
      </w:r>
      <w:r>
        <w:rPr>
          <w:rFonts w:hint="eastAsia" w:ascii="宋体" w:hAnsi="宋体" w:eastAsia="宋体" w:cs="宋体"/>
          <w:i w:val="0"/>
          <w:iCs w:val="0"/>
          <w:caps w:val="0"/>
          <w:color w:val="2C3E50"/>
          <w:spacing w:val="0"/>
          <w:kern w:val="0"/>
          <w:sz w:val="22"/>
          <w:szCs w:val="22"/>
          <w:shd w:val="clear" w:fill="FFFFFF"/>
          <w:lang w:val="en-US" w:eastAsia="zh-CN" w:bidi="ar"/>
        </w:rPr>
        <w:t>越南企业若项目失败责任不明，部分企业依赖国家支持，经济增长易受少数企业影响。</w:t>
      </w:r>
    </w:p>
    <w:p w14:paraId="54B355A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背景知识：</w:t>
      </w:r>
    </w:p>
    <w:p w14:paraId="1E21251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新兴市场是指发展中国家的股票市场，具有增长潜力但风险也较高。越南近年来经济发展迅速，通过大规模基建投资、改革措施等推动增长。其股市因升级为新兴市场等因素表现出色，但也存在企业集中度高、基建依赖少数企业等问题。如越南将培育国家冠军企业，类似韩国财阀模式，不过企业责任及风险承担机制有待明确，经济增长受少数企业影响较大。</w:t>
      </w:r>
    </w:p>
    <w:p w14:paraId="4E9DC54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新兴市场：越南基建投入大，经济增长快</w:t>
      </w:r>
    </w:p>
    <w:p w14:paraId="20C8D53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越南股市：去年涨幅大，部分股票贡献高</w:t>
      </w:r>
    </w:p>
    <w:p w14:paraId="2CE441E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越南改革：推多项政策，欲培育20家龙头企业</w:t>
      </w:r>
    </w:p>
    <w:p w14:paraId="52B412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val="0"/>
          <w:bCs w:val="0"/>
          <w:i w:val="0"/>
          <w:iCs w:val="0"/>
          <w:caps w:val="0"/>
          <w:color w:val="auto"/>
          <w:spacing w:val="0"/>
          <w:sz w:val="21"/>
          <w:szCs w:val="21"/>
          <w:shd w:val="clear" w:fill="FFFFFF"/>
          <w:vertAlign w:val="baseline"/>
          <w:lang w:eastAsia="zh-CN"/>
        </w:rPr>
      </w:pPr>
      <w:r>
        <w:rPr>
          <w:rFonts w:hint="eastAsia" w:ascii="宋体" w:hAnsi="宋体" w:eastAsia="宋体" w:cs="宋体"/>
          <w:i w:val="0"/>
          <w:iCs w:val="0"/>
          <w:caps w:val="0"/>
          <w:color w:val="2C3E50"/>
          <w:spacing w:val="0"/>
          <w:kern w:val="0"/>
          <w:sz w:val="22"/>
          <w:szCs w:val="22"/>
          <w:shd w:val="clear" w:fill="FFFFFF"/>
          <w:lang w:val="en-US" w:eastAsia="zh-CN" w:bidi="ar"/>
        </w:rPr>
        <w:t>· 越南经济：增长虽快，依赖少数企业存风险</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F190">
    <w:pPr>
      <w:pStyle w:val="6"/>
      <w:tabs>
        <w:tab w:val="left" w:pos="4731"/>
        <w:tab w:val="clear" w:pos="4153"/>
      </w:tabs>
      <w:jc w:val="center"/>
      <w:rPr>
        <w:rFonts w:hint="default" w:eastAsiaTheme="minorEastAsia"/>
        <w:b/>
        <w:bCs/>
        <w:lang w:val="en-US" w:eastAsia="zh-CN"/>
      </w:rPr>
    </w:pP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136D6">
    <w:pPr>
      <w:pStyle w:val="7"/>
      <w:jc w:val="center"/>
      <w:rPr>
        <w:rFonts w:hint="eastAsia" w:ascii="宋体" w:eastAsia="宋体"/>
        <w:b/>
        <w:color w:val="FF0000"/>
        <w:sz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ZjA5OTUxZTJjY2JmOTM1ZjYwNGY1MjRlZTQ5MWYifQ=="/>
  </w:docVars>
  <w:rsids>
    <w:rsidRoot w:val="00000000"/>
    <w:rsid w:val="00081F9C"/>
    <w:rsid w:val="003B7DE9"/>
    <w:rsid w:val="004440D6"/>
    <w:rsid w:val="014575EF"/>
    <w:rsid w:val="0156102F"/>
    <w:rsid w:val="017303B5"/>
    <w:rsid w:val="02F55ED0"/>
    <w:rsid w:val="0389443A"/>
    <w:rsid w:val="03960557"/>
    <w:rsid w:val="03BD7D48"/>
    <w:rsid w:val="041638AF"/>
    <w:rsid w:val="04551AD4"/>
    <w:rsid w:val="047D2368"/>
    <w:rsid w:val="04EC680E"/>
    <w:rsid w:val="05423C13"/>
    <w:rsid w:val="054A7404"/>
    <w:rsid w:val="05E754E1"/>
    <w:rsid w:val="063029DD"/>
    <w:rsid w:val="06691DFE"/>
    <w:rsid w:val="06C75BB4"/>
    <w:rsid w:val="06F760C3"/>
    <w:rsid w:val="072E34B0"/>
    <w:rsid w:val="078A7D14"/>
    <w:rsid w:val="07BC7CDE"/>
    <w:rsid w:val="07E65C28"/>
    <w:rsid w:val="081D0796"/>
    <w:rsid w:val="087529C5"/>
    <w:rsid w:val="08A01761"/>
    <w:rsid w:val="08A20F33"/>
    <w:rsid w:val="08AD0E3C"/>
    <w:rsid w:val="08E8471D"/>
    <w:rsid w:val="08EA5713"/>
    <w:rsid w:val="096932EF"/>
    <w:rsid w:val="09D41D19"/>
    <w:rsid w:val="09F17681"/>
    <w:rsid w:val="0AA51883"/>
    <w:rsid w:val="0AAE56D2"/>
    <w:rsid w:val="0AB917F3"/>
    <w:rsid w:val="0B062974"/>
    <w:rsid w:val="0CF41930"/>
    <w:rsid w:val="0D16652A"/>
    <w:rsid w:val="0D2F0953"/>
    <w:rsid w:val="0D6F55DD"/>
    <w:rsid w:val="0D7E3C04"/>
    <w:rsid w:val="0DB461AA"/>
    <w:rsid w:val="0DFF18EE"/>
    <w:rsid w:val="0E2C5BD6"/>
    <w:rsid w:val="0E517CBB"/>
    <w:rsid w:val="10405B8A"/>
    <w:rsid w:val="106F72AE"/>
    <w:rsid w:val="111F4890"/>
    <w:rsid w:val="11290C5D"/>
    <w:rsid w:val="125E2A48"/>
    <w:rsid w:val="12D370B9"/>
    <w:rsid w:val="12F6091F"/>
    <w:rsid w:val="135409A7"/>
    <w:rsid w:val="13573626"/>
    <w:rsid w:val="135F311D"/>
    <w:rsid w:val="1372763F"/>
    <w:rsid w:val="13BB08A4"/>
    <w:rsid w:val="14451803"/>
    <w:rsid w:val="14DE2E1C"/>
    <w:rsid w:val="1536133D"/>
    <w:rsid w:val="155C44F5"/>
    <w:rsid w:val="155F00AB"/>
    <w:rsid w:val="156617BC"/>
    <w:rsid w:val="156C147F"/>
    <w:rsid w:val="16521B94"/>
    <w:rsid w:val="16534651"/>
    <w:rsid w:val="1693048D"/>
    <w:rsid w:val="174F2E42"/>
    <w:rsid w:val="175837BD"/>
    <w:rsid w:val="17B818CA"/>
    <w:rsid w:val="17DD74F6"/>
    <w:rsid w:val="18244D7E"/>
    <w:rsid w:val="18442310"/>
    <w:rsid w:val="18560391"/>
    <w:rsid w:val="185F5088"/>
    <w:rsid w:val="18B31532"/>
    <w:rsid w:val="19942C7B"/>
    <w:rsid w:val="19E46C6B"/>
    <w:rsid w:val="19F47710"/>
    <w:rsid w:val="1A784395"/>
    <w:rsid w:val="1AFD2CB7"/>
    <w:rsid w:val="1B1619D7"/>
    <w:rsid w:val="1B3A41C6"/>
    <w:rsid w:val="1BED6FB9"/>
    <w:rsid w:val="1BF363BA"/>
    <w:rsid w:val="1C3B561E"/>
    <w:rsid w:val="1CA74301"/>
    <w:rsid w:val="1CDE421D"/>
    <w:rsid w:val="1CEB1230"/>
    <w:rsid w:val="1DA951F9"/>
    <w:rsid w:val="1DB631C9"/>
    <w:rsid w:val="1E8964C1"/>
    <w:rsid w:val="1F911CFB"/>
    <w:rsid w:val="200230BF"/>
    <w:rsid w:val="207F0F48"/>
    <w:rsid w:val="20B516D3"/>
    <w:rsid w:val="21004DB3"/>
    <w:rsid w:val="213D18E5"/>
    <w:rsid w:val="215709F6"/>
    <w:rsid w:val="216E5D0C"/>
    <w:rsid w:val="22990839"/>
    <w:rsid w:val="229E21F4"/>
    <w:rsid w:val="22C81958"/>
    <w:rsid w:val="22F22FF9"/>
    <w:rsid w:val="231A6297"/>
    <w:rsid w:val="234C3FAD"/>
    <w:rsid w:val="23FF4CA7"/>
    <w:rsid w:val="24180472"/>
    <w:rsid w:val="254F3ADE"/>
    <w:rsid w:val="25876F85"/>
    <w:rsid w:val="25BF5089"/>
    <w:rsid w:val="26D73EB4"/>
    <w:rsid w:val="272151E5"/>
    <w:rsid w:val="27623A48"/>
    <w:rsid w:val="277044C5"/>
    <w:rsid w:val="27906596"/>
    <w:rsid w:val="27961118"/>
    <w:rsid w:val="27F43D25"/>
    <w:rsid w:val="291814B6"/>
    <w:rsid w:val="295F2D31"/>
    <w:rsid w:val="29A436BC"/>
    <w:rsid w:val="2A347152"/>
    <w:rsid w:val="2A467BAA"/>
    <w:rsid w:val="2AA539B7"/>
    <w:rsid w:val="2AD57308"/>
    <w:rsid w:val="2B291CF8"/>
    <w:rsid w:val="2B407B5F"/>
    <w:rsid w:val="2B935B64"/>
    <w:rsid w:val="2CD4720C"/>
    <w:rsid w:val="2CF477EC"/>
    <w:rsid w:val="2D2713E9"/>
    <w:rsid w:val="2D7158B8"/>
    <w:rsid w:val="2D83129D"/>
    <w:rsid w:val="2DB26E99"/>
    <w:rsid w:val="2DCF0A57"/>
    <w:rsid w:val="2DE7063C"/>
    <w:rsid w:val="2E581F5E"/>
    <w:rsid w:val="2EB570A7"/>
    <w:rsid w:val="2EBA3E3D"/>
    <w:rsid w:val="2EDC40A4"/>
    <w:rsid w:val="2EF24A6F"/>
    <w:rsid w:val="2F5A099A"/>
    <w:rsid w:val="2FAE65DB"/>
    <w:rsid w:val="303E306A"/>
    <w:rsid w:val="30712976"/>
    <w:rsid w:val="30F07DFA"/>
    <w:rsid w:val="31451BD7"/>
    <w:rsid w:val="31D63A9E"/>
    <w:rsid w:val="31D9604C"/>
    <w:rsid w:val="31DC257A"/>
    <w:rsid w:val="32A9756E"/>
    <w:rsid w:val="32AB5155"/>
    <w:rsid w:val="335A70B2"/>
    <w:rsid w:val="33AE24E2"/>
    <w:rsid w:val="340A5039"/>
    <w:rsid w:val="34672B96"/>
    <w:rsid w:val="346E41EB"/>
    <w:rsid w:val="34806083"/>
    <w:rsid w:val="34B350A3"/>
    <w:rsid w:val="352F7A20"/>
    <w:rsid w:val="35356FA0"/>
    <w:rsid w:val="35542952"/>
    <w:rsid w:val="357C1FBD"/>
    <w:rsid w:val="35BF21C5"/>
    <w:rsid w:val="35FA4023"/>
    <w:rsid w:val="36325319"/>
    <w:rsid w:val="36B67AF1"/>
    <w:rsid w:val="36ED0A43"/>
    <w:rsid w:val="37407794"/>
    <w:rsid w:val="374F7B80"/>
    <w:rsid w:val="37901EDA"/>
    <w:rsid w:val="380047BA"/>
    <w:rsid w:val="385F62D9"/>
    <w:rsid w:val="388E5373"/>
    <w:rsid w:val="39947F4D"/>
    <w:rsid w:val="3A497752"/>
    <w:rsid w:val="3A6028BD"/>
    <w:rsid w:val="3AEE6113"/>
    <w:rsid w:val="3B523A32"/>
    <w:rsid w:val="3C052692"/>
    <w:rsid w:val="3C065895"/>
    <w:rsid w:val="3C06611D"/>
    <w:rsid w:val="3C0A5227"/>
    <w:rsid w:val="3C54172E"/>
    <w:rsid w:val="3C63414C"/>
    <w:rsid w:val="3C877954"/>
    <w:rsid w:val="3CA90763"/>
    <w:rsid w:val="3CE466A5"/>
    <w:rsid w:val="3CE82AE2"/>
    <w:rsid w:val="3D0971A4"/>
    <w:rsid w:val="3D8E2506"/>
    <w:rsid w:val="3E0E070F"/>
    <w:rsid w:val="3E51447C"/>
    <w:rsid w:val="3E592DBE"/>
    <w:rsid w:val="3E8B5033"/>
    <w:rsid w:val="3E900C7B"/>
    <w:rsid w:val="3EFD0971"/>
    <w:rsid w:val="3F565AE2"/>
    <w:rsid w:val="3FAE7AF7"/>
    <w:rsid w:val="3FC54EB6"/>
    <w:rsid w:val="408C7ACD"/>
    <w:rsid w:val="40B33818"/>
    <w:rsid w:val="416D4E4C"/>
    <w:rsid w:val="418C02C8"/>
    <w:rsid w:val="42CD3FDF"/>
    <w:rsid w:val="43030824"/>
    <w:rsid w:val="432E5CA6"/>
    <w:rsid w:val="43EB5612"/>
    <w:rsid w:val="442A6C63"/>
    <w:rsid w:val="446D7778"/>
    <w:rsid w:val="44AC664D"/>
    <w:rsid w:val="44D01D36"/>
    <w:rsid w:val="45091B38"/>
    <w:rsid w:val="45391056"/>
    <w:rsid w:val="45AA6F6F"/>
    <w:rsid w:val="45CE0B16"/>
    <w:rsid w:val="46386FBA"/>
    <w:rsid w:val="48412E31"/>
    <w:rsid w:val="48823A88"/>
    <w:rsid w:val="48FF3899"/>
    <w:rsid w:val="49A36D74"/>
    <w:rsid w:val="4A50058B"/>
    <w:rsid w:val="4A742E1A"/>
    <w:rsid w:val="4AC4620A"/>
    <w:rsid w:val="4B0E7BAC"/>
    <w:rsid w:val="4B49499C"/>
    <w:rsid w:val="4C5D7C4F"/>
    <w:rsid w:val="4CCB51C8"/>
    <w:rsid w:val="4CE20CF5"/>
    <w:rsid w:val="4CFE74A8"/>
    <w:rsid w:val="4D542C24"/>
    <w:rsid w:val="4DE246E8"/>
    <w:rsid w:val="4DF901AF"/>
    <w:rsid w:val="4F2812AA"/>
    <w:rsid w:val="4F8258CA"/>
    <w:rsid w:val="4FAB4D81"/>
    <w:rsid w:val="5032161F"/>
    <w:rsid w:val="508257A8"/>
    <w:rsid w:val="50A0486C"/>
    <w:rsid w:val="51332ED6"/>
    <w:rsid w:val="5156257D"/>
    <w:rsid w:val="51EF1F89"/>
    <w:rsid w:val="51F4165C"/>
    <w:rsid w:val="52344E77"/>
    <w:rsid w:val="52860E96"/>
    <w:rsid w:val="531A7114"/>
    <w:rsid w:val="53914EBC"/>
    <w:rsid w:val="53E46F35"/>
    <w:rsid w:val="540F5730"/>
    <w:rsid w:val="543201FA"/>
    <w:rsid w:val="54927C37"/>
    <w:rsid w:val="55197628"/>
    <w:rsid w:val="553F3752"/>
    <w:rsid w:val="559524AA"/>
    <w:rsid w:val="55972B27"/>
    <w:rsid w:val="55A06294"/>
    <w:rsid w:val="561A4BA7"/>
    <w:rsid w:val="567664C1"/>
    <w:rsid w:val="56B334AD"/>
    <w:rsid w:val="56F45E8E"/>
    <w:rsid w:val="574E320C"/>
    <w:rsid w:val="57D11F7C"/>
    <w:rsid w:val="58DC4721"/>
    <w:rsid w:val="59BC506B"/>
    <w:rsid w:val="59DD24CF"/>
    <w:rsid w:val="5A66601D"/>
    <w:rsid w:val="5A844DA5"/>
    <w:rsid w:val="5AD762F4"/>
    <w:rsid w:val="5B395B27"/>
    <w:rsid w:val="5B3B4132"/>
    <w:rsid w:val="5B641B67"/>
    <w:rsid w:val="5B99240F"/>
    <w:rsid w:val="5BBE5E85"/>
    <w:rsid w:val="5BFF0509"/>
    <w:rsid w:val="5C217E2B"/>
    <w:rsid w:val="5CE32E92"/>
    <w:rsid w:val="5D0562C0"/>
    <w:rsid w:val="5D5702B3"/>
    <w:rsid w:val="5DE91852"/>
    <w:rsid w:val="5DEA587B"/>
    <w:rsid w:val="5DEB4C7D"/>
    <w:rsid w:val="5E344179"/>
    <w:rsid w:val="5E447441"/>
    <w:rsid w:val="5E6351EB"/>
    <w:rsid w:val="5E752B40"/>
    <w:rsid w:val="5F151B78"/>
    <w:rsid w:val="5F440EDF"/>
    <w:rsid w:val="5FB9598A"/>
    <w:rsid w:val="6050142B"/>
    <w:rsid w:val="60762ED2"/>
    <w:rsid w:val="60AF448F"/>
    <w:rsid w:val="61B30A47"/>
    <w:rsid w:val="61FC2CD6"/>
    <w:rsid w:val="62070E22"/>
    <w:rsid w:val="621B2C2A"/>
    <w:rsid w:val="62DB2ABC"/>
    <w:rsid w:val="62EF449B"/>
    <w:rsid w:val="62F60D62"/>
    <w:rsid w:val="631A476D"/>
    <w:rsid w:val="634E0F59"/>
    <w:rsid w:val="63765B92"/>
    <w:rsid w:val="638639A5"/>
    <w:rsid w:val="63F07B79"/>
    <w:rsid w:val="64346872"/>
    <w:rsid w:val="64EE268A"/>
    <w:rsid w:val="65A475A6"/>
    <w:rsid w:val="65DC4ACB"/>
    <w:rsid w:val="65E95B5E"/>
    <w:rsid w:val="65F76842"/>
    <w:rsid w:val="66801975"/>
    <w:rsid w:val="668C4779"/>
    <w:rsid w:val="66A3459C"/>
    <w:rsid w:val="66AC5569"/>
    <w:rsid w:val="66B875C1"/>
    <w:rsid w:val="66E07BC1"/>
    <w:rsid w:val="67015E2F"/>
    <w:rsid w:val="67176F8F"/>
    <w:rsid w:val="673736E7"/>
    <w:rsid w:val="673E7013"/>
    <w:rsid w:val="67A871FB"/>
    <w:rsid w:val="68183DB4"/>
    <w:rsid w:val="688D0605"/>
    <w:rsid w:val="688F1DB0"/>
    <w:rsid w:val="68A8121B"/>
    <w:rsid w:val="69594684"/>
    <w:rsid w:val="69681CA9"/>
    <w:rsid w:val="69EB4A9D"/>
    <w:rsid w:val="6A3172FC"/>
    <w:rsid w:val="6A42210F"/>
    <w:rsid w:val="6BB37B08"/>
    <w:rsid w:val="6C03334E"/>
    <w:rsid w:val="6CD30D9B"/>
    <w:rsid w:val="6D6C2BD8"/>
    <w:rsid w:val="6D6F06F4"/>
    <w:rsid w:val="6D7B5F4F"/>
    <w:rsid w:val="6D905543"/>
    <w:rsid w:val="6E1F74C3"/>
    <w:rsid w:val="6EA332C0"/>
    <w:rsid w:val="6EDD18B4"/>
    <w:rsid w:val="6F0B4673"/>
    <w:rsid w:val="6F1C4CFF"/>
    <w:rsid w:val="70A21EE6"/>
    <w:rsid w:val="70BF5C51"/>
    <w:rsid w:val="70D474B2"/>
    <w:rsid w:val="70FA5DA3"/>
    <w:rsid w:val="71035777"/>
    <w:rsid w:val="713E509B"/>
    <w:rsid w:val="718B439B"/>
    <w:rsid w:val="718E6EEF"/>
    <w:rsid w:val="71DE1C21"/>
    <w:rsid w:val="71F60F4F"/>
    <w:rsid w:val="71F64503"/>
    <w:rsid w:val="72C74C94"/>
    <w:rsid w:val="73283CC9"/>
    <w:rsid w:val="73410F0D"/>
    <w:rsid w:val="7380268B"/>
    <w:rsid w:val="738B0393"/>
    <w:rsid w:val="73C9090C"/>
    <w:rsid w:val="74EB6DD4"/>
    <w:rsid w:val="756007EC"/>
    <w:rsid w:val="75741B51"/>
    <w:rsid w:val="75807169"/>
    <w:rsid w:val="75B92141"/>
    <w:rsid w:val="76034BED"/>
    <w:rsid w:val="76045CF5"/>
    <w:rsid w:val="76293A7D"/>
    <w:rsid w:val="762B1B58"/>
    <w:rsid w:val="762D34D5"/>
    <w:rsid w:val="763A29A0"/>
    <w:rsid w:val="7696266A"/>
    <w:rsid w:val="76F20AE6"/>
    <w:rsid w:val="76F863BD"/>
    <w:rsid w:val="775B331E"/>
    <w:rsid w:val="778630CE"/>
    <w:rsid w:val="77CC63A4"/>
    <w:rsid w:val="780F560D"/>
    <w:rsid w:val="78413547"/>
    <w:rsid w:val="78652AAA"/>
    <w:rsid w:val="78B86F9D"/>
    <w:rsid w:val="78C259D1"/>
    <w:rsid w:val="78EC2220"/>
    <w:rsid w:val="793A736F"/>
    <w:rsid w:val="7A1807E7"/>
    <w:rsid w:val="7A35174B"/>
    <w:rsid w:val="7A9020BD"/>
    <w:rsid w:val="7AC57340"/>
    <w:rsid w:val="7B5D6FEC"/>
    <w:rsid w:val="7B7655DF"/>
    <w:rsid w:val="7C077F70"/>
    <w:rsid w:val="7C9F0FB7"/>
    <w:rsid w:val="7CA14878"/>
    <w:rsid w:val="7CB427CF"/>
    <w:rsid w:val="7D484556"/>
    <w:rsid w:val="7D8A0433"/>
    <w:rsid w:val="7F1613C9"/>
    <w:rsid w:val="7F20327D"/>
    <w:rsid w:val="7F3A266F"/>
    <w:rsid w:val="7F5B1207"/>
    <w:rsid w:val="7FB21F9B"/>
    <w:rsid w:val="7FC1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pPr>
      <w:autoSpaceDE w:val="0"/>
      <w:autoSpaceDN w:val="0"/>
      <w:jc w:val="left"/>
    </w:pPr>
    <w:rPr>
      <w:rFonts w:ascii="Times New Roman" w:hAnsi="Times New Roman" w:eastAsia="Times New Roman" w:cs="Times New Roman"/>
      <w:kern w:val="0"/>
      <w:sz w:val="23"/>
      <w:szCs w:val="23"/>
      <w:lang w:eastAsia="en-US" w:bidi="en-US"/>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paragraph" w:customStyle="1" w:styleId="14">
    <w:name w:val="Body text|1"/>
    <w:basedOn w:val="1"/>
    <w:qFormat/>
    <w:uiPriority w:val="0"/>
    <w:pPr>
      <w:widowControl w:val="0"/>
      <w:shd w:val="clear" w:color="auto" w:fill="auto"/>
      <w:ind w:firstLine="300"/>
    </w:pPr>
    <w:rPr>
      <w:sz w:val="28"/>
      <w:szCs w:val="28"/>
      <w:u w:val="none"/>
      <w:shd w:val="clear" w:color="auto" w:fill="auto"/>
    </w:rPr>
  </w:style>
  <w:style w:type="paragraph" w:styleId="15">
    <w:name w:val="List Paragraph"/>
    <w:basedOn w:val="1"/>
    <w:qFormat/>
    <w:uiPriority w:val="99"/>
    <w:pPr>
      <w:ind w:firstLine="420" w:firstLineChars="200"/>
    </w:pPr>
  </w:style>
  <w:style w:type="paragraph" w:customStyle="1" w:styleId="16">
    <w:name w:val="Body text|2"/>
    <w:basedOn w:val="1"/>
    <w:qFormat/>
    <w:uiPriority w:val="0"/>
    <w:pPr>
      <w:widowControl w:val="0"/>
      <w:shd w:val="clear" w:color="auto" w:fill="auto"/>
    </w:pPr>
    <w:rPr>
      <w:sz w:val="112"/>
      <w:szCs w:val="112"/>
      <w:u w:val="none"/>
      <w:shd w:val="clear" w:color="auto" w:fill="auto"/>
    </w:rPr>
  </w:style>
  <w:style w:type="character" w:customStyle="1" w:styleId="17">
    <w:name w:val="bjh-p"/>
    <w:qFormat/>
    <w:uiPriority w:val="0"/>
  </w:style>
  <w:style w:type="character" w:customStyle="1" w:styleId="18">
    <w:name w:val="NormalCharacter"/>
    <w:semiHidden/>
    <w:qFormat/>
    <w:uiPriority w:val="0"/>
  </w:style>
  <w:style w:type="paragraph" w:customStyle="1" w:styleId="19">
    <w:name w:val="_Style 2"/>
    <w:unhideWhenUsed/>
    <w:qFormat/>
    <w:uiPriority w:val="99"/>
    <w:pPr>
      <w:widowControl w:val="0"/>
      <w:ind w:firstLine="420" w:firstLineChars="200"/>
      <w:jc w:val="both"/>
    </w:pPr>
    <w:rPr>
      <w:rFonts w:hint="default"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2152</Words>
  <Characters>6309</Characters>
  <Lines>0</Lines>
  <Paragraphs>0</Paragraphs>
  <TotalTime>122</TotalTime>
  <ScaleCrop>false</ScaleCrop>
  <LinksUpToDate>false</LinksUpToDate>
  <CharactersWithSpaces>7259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2021-05-25T03:28:00Z</dcterms:created>
  <dc:creator>ujnha</dc:creator>
  <cp:lastModifiedBy>WPS_1713956526</cp:lastModifiedBy>
  <dcterms:modified xsi:type="dcterms:W3CDTF">2026-01-21T01:10:56Z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1F5AFEE0EFDF45EEBFA37C488FDFBC56_13</vt:lpwstr>
  </property>
  <property fmtid="{D5CDD505-2E9C-101B-9397-08002B2CF9AE}" pid="4" name="commondata">
    <vt:lpwstr>eyJoZGlkIjoiYTNhZjA5OTUxZTJjY2JmOTM1ZjYwNGY1MjRlZTQ5MWYifQ==</vt:lpwstr>
  </property>
  <property fmtid="{D5CDD505-2E9C-101B-9397-08002B2CF9AE}" pid="5" name="KSOTemplateDocerSaveRecord">
    <vt:lpwstr>eyJoZGlkIjoiNWI4YzU0MGE3MmEyNjllZjQwNzBlZTgxM2M3N2Y0ZDYiLCJ1c2VySWQiOiIxNTk1OTY1NjE0In0=</vt:lpwstr>
  </property>
</Properties>
</file>