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right"/>
      </w:pPr>
      <w:r>
        <w:rPr>
          <w:rFonts w:ascii="Times New Roman" w:cs="Times New Roman" w:eastAsia="Times New Roman" w:hAnsi="Times New Roman"/>
          <w:color w:val="444444"/>
          <w:sz w:val="24"/>
          <w:szCs w:val="24"/>
        </w:rPr>
        <w:t xml:space="preserve">Université Hassan 1er</w:t>
      </w:r>
    </w:p>
    <w:p>
      <w:pPr>
        <w:spacing w:before="800" w:after="40"/>
        <w:jc w:val="center"/>
      </w:pPr>
      <w:r>
        <w:rPr>
          <w:rFonts w:ascii="Times New Roman" w:cs="Times New Roman" w:eastAsia="Times New Roman" w:hAnsi="Times New Roman"/>
          <w:b/>
          <w:bCs/>
          <w:color w:val="006633"/>
          <w:sz w:val="32"/>
          <w:szCs w:val="32"/>
        </w:rPr>
        <w:t xml:space="preserve">ÉCOLE NATIONALE DE COMMERCE ET DE GESTION</w:t>
      </w:r>
    </w:p>
    <w:p>
      <w:pPr>
        <w:spacing w:after="600"/>
        <w:jc w:val="center"/>
      </w:pPr>
      <w:r>
        <w:rPr>
          <w:rFonts w:ascii="Times New Roman" w:cs="Times New Roman" w:eastAsia="Times New Roman" w:hAnsi="Times New Roman"/>
          <w:b/>
          <w:bCs/>
          <w:color w:val="006633"/>
          <w:sz w:val="32"/>
          <w:szCs w:val="32"/>
        </w:rPr>
        <w:t xml:space="preserve">DE SETTAT</w:t>
      </w:r>
    </w:p>
    <w:p>
      <w:pPr>
        <w:pBdr>
          <w:bottom w:val="single" w:color="006633" w:sz="10" w:space="1"/>
        </w:pBdr>
        <w:spacing w:after="300"/>
      </w:pPr>
      <w:r>
        <w:t xml:space="preserve"/>
      </w:r>
    </w:p>
    <w:p>
      <w:pPr>
        <w:spacing w:before="300" w:after="300"/>
        <w:jc w:val="center"/>
      </w:pPr>
      <w:r>
        <w:rPr>
          <w:rFonts w:ascii="Times New Roman" w:cs="Times New Roman" w:eastAsia="Times New Roman" w:hAnsi="Times New Roman"/>
          <w:b/>
          <w:bCs/>
          <w:color w:val="006633"/>
          <w:sz w:val="40"/>
          <w:szCs w:val="40"/>
        </w:rPr>
        <w:t xml:space="preserve">COMPTE RENDU DE PROJET</w:t>
      </w:r>
    </w:p>
    <w:p>
      <w:pPr>
        <w:pBdr>
          <w:bottom w:val="single" w:color="006633" w:sz="10" w:space="1"/>
        </w:pBdr>
        <w:spacing w:after="600"/>
      </w:pPr>
      <w:r>
        <w:t xml:space="preserve"/>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BBBBB" w:sz="1"/>
              <w:left w:val="single" w:color="BBBBBB" w:sz="1"/>
              <w:bottom w:val="single" w:color="BBBBBB" w:sz="1"/>
              <w:right w:val="single" w:color="BBBBBB" w:sz="1"/>
            </w:tcBorders>
            <w:shd w:fill="D9EAD3" w:val="clear"/>
            <w:tcMar>
              <w:top w:type="dxa" w:w="100"/>
              <w:left w:type="dxa" w:w="150"/>
              <w:bottom w:type="dxa" w:w="100"/>
              <w:right w:type="dxa" w:w="150"/>
            </w:tcMar>
          </w:tcPr>
          <w:p>
            <w:r>
              <w:rPr>
                <w:rFonts w:ascii="Times New Roman" w:cs="Times New Roman" w:eastAsia="Times New Roman" w:hAnsi="Times New Roman"/>
                <w:b/>
                <w:bCs/>
                <w:color w:val="004422"/>
                <w:sz w:val="22"/>
                <w:szCs w:val="22"/>
              </w:rPr>
              <w:t xml:space="preserve">Intitulé</w:t>
            </w:r>
          </w:p>
        </w:tc>
        <w:tc>
          <w:tcPr>
            <w:tcW w:type="dxa" w:w="6026"/>
            <w:tcBorders>
              <w:top w:val="single" w:color="BBBBBB" w:sz="1"/>
              <w:left w:val="single" w:color="BBBBBB" w:sz="1"/>
              <w:bottom w:val="single" w:color="BBBBBB" w:sz="1"/>
              <w:right w:val="single" w:color="BBBBBB" w:sz="1"/>
            </w:tcBorders>
            <w:tcMar>
              <w:top w:type="dxa" w:w="100"/>
              <w:left w:type="dxa" w:w="150"/>
              <w:bottom w:type="dxa" w:w="100"/>
              <w:right w:type="dxa" w:w="150"/>
            </w:tcMar>
          </w:tcPr>
          <w:p>
            <w:r>
              <w:rPr>
                <w:rFonts w:ascii="Times New Roman" w:cs="Times New Roman" w:eastAsia="Times New Roman" w:hAnsi="Times New Roman"/>
                <w:sz w:val="22"/>
                <w:szCs w:val="22"/>
              </w:rPr>
              <w:t xml:space="preserve">Fondements Mathématiques et Algorithmique des Méthodes de Clustering</w:t>
            </w:r>
          </w:p>
        </w:tc>
      </w:tr>
      <w:tr>
        <w:tc>
          <w:tcPr>
            <w:tcW w:type="dxa" w:w="3000"/>
            <w:tcBorders>
              <w:top w:val="single" w:color="BBBBBB" w:sz="1"/>
              <w:left w:val="single" w:color="BBBBBB" w:sz="1"/>
              <w:bottom w:val="single" w:color="BBBBBB" w:sz="1"/>
              <w:right w:val="single" w:color="BBBBBB" w:sz="1"/>
            </w:tcBorders>
            <w:shd w:fill="D9EAD3" w:val="clear"/>
            <w:tcMar>
              <w:top w:type="dxa" w:w="100"/>
              <w:left w:type="dxa" w:w="150"/>
              <w:bottom w:type="dxa" w:w="100"/>
              <w:right w:type="dxa" w:w="150"/>
            </w:tcMar>
          </w:tcPr>
          <w:p>
            <w:r>
              <w:rPr>
                <w:rFonts w:ascii="Times New Roman" w:cs="Times New Roman" w:eastAsia="Times New Roman" w:hAnsi="Times New Roman"/>
                <w:b/>
                <w:bCs/>
                <w:color w:val="004422"/>
                <w:sz w:val="22"/>
                <w:szCs w:val="22"/>
              </w:rPr>
              <w:t xml:space="preserve">Module</w:t>
            </w:r>
          </w:p>
        </w:tc>
        <w:tc>
          <w:tcPr>
            <w:tcW w:type="dxa" w:w="6026"/>
            <w:tcBorders>
              <w:top w:val="single" w:color="BBBBBB" w:sz="1"/>
              <w:left w:val="single" w:color="BBBBBB" w:sz="1"/>
              <w:bottom w:val="single" w:color="BBBBBB" w:sz="1"/>
              <w:right w:val="single" w:color="BBBBBB" w:sz="1"/>
            </w:tcBorders>
            <w:tcMar>
              <w:top w:type="dxa" w:w="100"/>
              <w:left w:type="dxa" w:w="150"/>
              <w:bottom w:type="dxa" w:w="100"/>
              <w:right w:type="dxa" w:w="150"/>
            </w:tcMar>
          </w:tcPr>
          <w:p>
            <w:r>
              <w:rPr>
                <w:rFonts w:ascii="Times New Roman" w:cs="Times New Roman" w:eastAsia="Times New Roman" w:hAnsi="Times New Roman"/>
                <w:sz w:val="22"/>
                <w:szCs w:val="22"/>
              </w:rPr>
              <w:t xml:space="preserve">Apprentissage Automatique / Intelligence Artificielle</w:t>
            </w:r>
          </w:p>
        </w:tc>
      </w:tr>
      <w:tr>
        <w:tc>
          <w:tcPr>
            <w:tcW w:type="dxa" w:w="3000"/>
            <w:tcBorders>
              <w:top w:val="single" w:color="BBBBBB" w:sz="1"/>
              <w:left w:val="single" w:color="BBBBBB" w:sz="1"/>
              <w:bottom w:val="single" w:color="BBBBBB" w:sz="1"/>
              <w:right w:val="single" w:color="BBBBBB" w:sz="1"/>
            </w:tcBorders>
            <w:shd w:fill="D9EAD3" w:val="clear"/>
            <w:tcMar>
              <w:top w:type="dxa" w:w="100"/>
              <w:left w:type="dxa" w:w="150"/>
              <w:bottom w:type="dxa" w:w="100"/>
              <w:right w:type="dxa" w:w="150"/>
            </w:tcMar>
          </w:tcPr>
          <w:p>
            <w:r>
              <w:rPr>
                <w:rFonts w:ascii="Times New Roman" w:cs="Times New Roman" w:eastAsia="Times New Roman" w:hAnsi="Times New Roman"/>
                <w:b/>
                <w:bCs/>
                <w:color w:val="004422"/>
                <w:sz w:val="22"/>
                <w:szCs w:val="22"/>
              </w:rPr>
              <w:t xml:space="preserve">Filière</w:t>
            </w:r>
          </w:p>
        </w:tc>
        <w:tc>
          <w:tcPr>
            <w:tcW w:type="dxa" w:w="6026"/>
            <w:tcBorders>
              <w:top w:val="single" w:color="BBBBBB" w:sz="1"/>
              <w:left w:val="single" w:color="BBBBBB" w:sz="1"/>
              <w:bottom w:val="single" w:color="BBBBBB" w:sz="1"/>
              <w:right w:val="single" w:color="BBBBBB" w:sz="1"/>
            </w:tcBorders>
            <w:tcMar>
              <w:top w:type="dxa" w:w="100"/>
              <w:left w:type="dxa" w:w="150"/>
              <w:bottom w:type="dxa" w:w="100"/>
              <w:right w:type="dxa" w:w="150"/>
            </w:tcMar>
          </w:tcPr>
          <w:p>
            <w:r>
              <w:rPr>
                <w:rFonts w:ascii="Times New Roman" w:cs="Times New Roman" w:eastAsia="Times New Roman" w:hAnsi="Times New Roman"/>
                <w:sz w:val="22"/>
                <w:szCs w:val="22"/>
              </w:rPr>
              <w:t xml:space="preserve">L3 — Semestre 8 (S8)</w:t>
            </w:r>
          </w:p>
        </w:tc>
      </w:tr>
      <w:tr>
        <w:tc>
          <w:tcPr>
            <w:tcW w:type="dxa" w:w="3000"/>
            <w:tcBorders>
              <w:top w:val="single" w:color="BBBBBB" w:sz="1"/>
              <w:left w:val="single" w:color="BBBBBB" w:sz="1"/>
              <w:bottom w:val="single" w:color="BBBBBB" w:sz="1"/>
              <w:right w:val="single" w:color="BBBBBB" w:sz="1"/>
            </w:tcBorders>
            <w:shd w:fill="D9EAD3" w:val="clear"/>
            <w:tcMar>
              <w:top w:type="dxa" w:w="100"/>
              <w:left w:type="dxa" w:w="150"/>
              <w:bottom w:type="dxa" w:w="100"/>
              <w:right w:type="dxa" w:w="150"/>
            </w:tcMar>
          </w:tcPr>
          <w:p>
            <w:r>
              <w:rPr>
                <w:rFonts w:ascii="Times New Roman" w:cs="Times New Roman" w:eastAsia="Times New Roman" w:hAnsi="Times New Roman"/>
                <w:b/>
                <w:bCs/>
                <w:color w:val="004422"/>
                <w:sz w:val="22"/>
                <w:szCs w:val="22"/>
              </w:rPr>
              <w:t xml:space="preserve">Réalisé par</w:t>
            </w:r>
          </w:p>
        </w:tc>
        <w:tc>
          <w:tcPr>
            <w:tcW w:type="dxa" w:w="6026"/>
            <w:tcBorders>
              <w:top w:val="single" w:color="BBBBBB" w:sz="1"/>
              <w:left w:val="single" w:color="BBBBBB" w:sz="1"/>
              <w:bottom w:val="single" w:color="BBBBBB" w:sz="1"/>
              <w:right w:val="single" w:color="BBBBBB" w:sz="1"/>
            </w:tcBorders>
            <w:tcMar>
              <w:top w:type="dxa" w:w="100"/>
              <w:left w:type="dxa" w:w="150"/>
              <w:bottom w:type="dxa" w:w="100"/>
              <w:right w:type="dxa" w:w="150"/>
            </w:tcMar>
          </w:tcPr>
          <w:p>
            <w:r>
              <w:rPr>
                <w:rFonts w:ascii="Times New Roman" w:cs="Times New Roman" w:eastAsia="Times New Roman" w:hAnsi="Times New Roman"/>
                <w:sz w:val="22"/>
                <w:szCs w:val="22"/>
              </w:rPr>
              <w:t xml:space="preserve">[Prénom NOM de l'étudiant]</w:t>
            </w:r>
          </w:p>
        </w:tc>
      </w:tr>
      <w:tr>
        <w:tc>
          <w:tcPr>
            <w:tcW w:type="dxa" w:w="3000"/>
            <w:tcBorders>
              <w:top w:val="single" w:color="BBBBBB" w:sz="1"/>
              <w:left w:val="single" w:color="BBBBBB" w:sz="1"/>
              <w:bottom w:val="single" w:color="BBBBBB" w:sz="1"/>
              <w:right w:val="single" w:color="BBBBBB" w:sz="1"/>
            </w:tcBorders>
            <w:shd w:fill="D9EAD3" w:val="clear"/>
            <w:tcMar>
              <w:top w:type="dxa" w:w="100"/>
              <w:left w:type="dxa" w:w="150"/>
              <w:bottom w:type="dxa" w:w="100"/>
              <w:right w:type="dxa" w:w="150"/>
            </w:tcMar>
          </w:tcPr>
          <w:p>
            <w:r>
              <w:rPr>
                <w:rFonts w:ascii="Times New Roman" w:cs="Times New Roman" w:eastAsia="Times New Roman" w:hAnsi="Times New Roman"/>
                <w:b/>
                <w:bCs/>
                <w:color w:val="004422"/>
                <w:sz w:val="22"/>
                <w:szCs w:val="22"/>
              </w:rPr>
              <w:t xml:space="preserve">Encadrant</w:t>
            </w:r>
          </w:p>
        </w:tc>
        <w:tc>
          <w:tcPr>
            <w:tcW w:type="dxa" w:w="6026"/>
            <w:tcBorders>
              <w:top w:val="single" w:color="BBBBBB" w:sz="1"/>
              <w:left w:val="single" w:color="BBBBBB" w:sz="1"/>
              <w:bottom w:val="single" w:color="BBBBBB" w:sz="1"/>
              <w:right w:val="single" w:color="BBBBBB" w:sz="1"/>
            </w:tcBorders>
            <w:tcMar>
              <w:top w:type="dxa" w:w="100"/>
              <w:left w:type="dxa" w:w="150"/>
              <w:bottom w:type="dxa" w:w="100"/>
              <w:right w:type="dxa" w:w="150"/>
            </w:tcMar>
          </w:tcPr>
          <w:p>
            <w:r>
              <w:rPr>
                <w:rFonts w:ascii="Times New Roman" w:cs="Times New Roman" w:eastAsia="Times New Roman" w:hAnsi="Times New Roman"/>
                <w:sz w:val="22"/>
                <w:szCs w:val="22"/>
              </w:rPr>
              <w:t xml:space="preserve">[Titre + Prénom NOM de l'encadrant]</w:t>
            </w:r>
          </w:p>
        </w:tc>
      </w:tr>
      <w:tr>
        <w:tc>
          <w:tcPr>
            <w:tcW w:type="dxa" w:w="3000"/>
            <w:tcBorders>
              <w:top w:val="single" w:color="BBBBBB" w:sz="1"/>
              <w:left w:val="single" w:color="BBBBBB" w:sz="1"/>
              <w:bottom w:val="single" w:color="BBBBBB" w:sz="1"/>
              <w:right w:val="single" w:color="BBBBBB" w:sz="1"/>
            </w:tcBorders>
            <w:shd w:fill="D9EAD3" w:val="clear"/>
            <w:tcMar>
              <w:top w:type="dxa" w:w="100"/>
              <w:left w:type="dxa" w:w="150"/>
              <w:bottom w:type="dxa" w:w="100"/>
              <w:right w:type="dxa" w:w="150"/>
            </w:tcMar>
          </w:tcPr>
          <w:p>
            <w:r>
              <w:rPr>
                <w:rFonts w:ascii="Times New Roman" w:cs="Times New Roman" w:eastAsia="Times New Roman" w:hAnsi="Times New Roman"/>
                <w:b/>
                <w:bCs/>
                <w:color w:val="004422"/>
                <w:sz w:val="22"/>
                <w:szCs w:val="22"/>
              </w:rPr>
              <w:t xml:space="preserve">Période</w:t>
            </w:r>
          </w:p>
        </w:tc>
        <w:tc>
          <w:tcPr>
            <w:tcW w:type="dxa" w:w="6026"/>
            <w:tcBorders>
              <w:top w:val="single" w:color="BBBBBB" w:sz="1"/>
              <w:left w:val="single" w:color="BBBBBB" w:sz="1"/>
              <w:bottom w:val="single" w:color="BBBBBB" w:sz="1"/>
              <w:right w:val="single" w:color="BBBBBB" w:sz="1"/>
            </w:tcBorders>
            <w:tcMar>
              <w:top w:type="dxa" w:w="100"/>
              <w:left w:type="dxa" w:w="150"/>
              <w:bottom w:type="dxa" w:w="100"/>
              <w:right w:type="dxa" w:w="150"/>
            </w:tcMar>
          </w:tcPr>
          <w:p>
            <w:r>
              <w:rPr>
                <w:rFonts w:ascii="Times New Roman" w:cs="Times New Roman" w:eastAsia="Times New Roman" w:hAnsi="Times New Roman"/>
                <w:sz w:val="22"/>
                <w:szCs w:val="22"/>
              </w:rPr>
              <w:t xml:space="preserve">Février — Mars 2026</w:t>
            </w:r>
          </w:p>
        </w:tc>
      </w:tr>
    </w:tbl>
    <w:p>
      <w:pPr>
        <w:spacing w:after="60"/>
      </w:pPr>
      <w:r>
        <w:t xml:space="preserve"/>
      </w:r>
    </w:p>
    <w:p>
      <w:pPr>
        <w:spacing w:after="60"/>
      </w:pPr>
      <w:r>
        <w:t xml:space="preserve"/>
      </w:r>
    </w:p>
    <w:p>
      <w:pPr>
        <w:pBdr>
          <w:bottom w:val="single" w:color="006633" w:sz="6" w:space="1"/>
        </w:pBdr>
        <w:spacing w:after="200"/>
      </w:pPr>
      <w:r>
        <w:t xml:space="preserve"/>
      </w:r>
    </w:p>
    <w:p>
      <w:pPr>
        <w:spacing w:before="200"/>
        <w:jc w:val="center"/>
      </w:pPr>
      <w:r>
        <w:rPr>
          <w:rFonts w:ascii="Times New Roman" w:cs="Times New Roman" w:eastAsia="Times New Roman" w:hAnsi="Times New Roman"/>
          <w:color w:val="555555"/>
          <w:sz w:val="22"/>
          <w:szCs w:val="22"/>
        </w:rPr>
        <w:t xml:space="preserve">Année Universitaire 2024–2025</w:t>
      </w:r>
    </w:p>
    <w:p>
      <w:r>
        <w:br w:type="page"/>
      </w:r>
    </w:p>
    <w:p>
      <w:pPr>
        <w:pStyle w:val="Heading1"/>
        <w:pBdr>
          <w:bottom w:val="single" w:color="006633" w:sz="8" w:space="1"/>
        </w:pBdr>
        <w:spacing w:before="300" w:after="180"/>
      </w:pPr>
      <w:r>
        <w:rPr>
          <w:rFonts w:ascii="Times New Roman" w:cs="Times New Roman" w:eastAsia="Times New Roman" w:hAnsi="Times New Roman"/>
          <w:b/>
          <w:bCs/>
          <w:color w:val="006633"/>
          <w:sz w:val="28"/>
          <w:szCs w:val="28"/>
        </w:rPr>
        <w:t xml:space="preserve">I. INTRODUCTION</w:t>
      </w:r>
    </w:p>
    <w:p>
      <w:pPr>
        <w:pStyle w:val="Heading2"/>
        <w:spacing w:before="240" w:after="120"/>
      </w:pPr>
      <w:r>
        <w:rPr>
          <w:rFonts w:ascii="Times New Roman" w:cs="Times New Roman" w:eastAsia="Times New Roman" w:hAnsi="Times New Roman"/>
          <w:b/>
          <w:bCs/>
          <w:color w:val="004422"/>
          <w:sz w:val="24"/>
          <w:szCs w:val="24"/>
        </w:rPr>
        <w:t xml:space="preserve">I.1  Contexte et problématique</w:t>
      </w:r>
    </w:p>
    <w:p>
      <w:pPr>
        <w:spacing w:line="360" w:after="120"/>
        <w:ind w:firstLine="720"/>
        <w:jc w:val="both"/>
      </w:pPr>
      <w:r>
        <w:rPr>
          <w:rFonts w:ascii="Times New Roman" w:cs="Times New Roman" w:eastAsia="Times New Roman" w:hAnsi="Times New Roman"/>
          <w:sz w:val="24"/>
          <w:szCs w:val="24"/>
        </w:rPr>
        <w:t xml:space="preserve">L'essor du volume des données non structurées, inhérent à la transition numérique des organisations, place l'apprentissage non supervisé au cœur des démarches analytiques contemporaines. Parmi ces approches, le partitionnement automatique — ou clustering — constitue une brique fondamentale pour la découverte de structures latentes au sein d'ensembles de données non étiquetés. La problématique centrale du présent compte rendu peut être formulée comme suit : quels fondements mathématiques et algorithmiques régissent les principales familles de méthodes de clustering, et comment peut-on les évaluer de manière rigoureuse ?</w:t>
      </w:r>
    </w:p>
    <w:p>
      <w:pPr>
        <w:pStyle w:val="Heading2"/>
        <w:spacing w:before="240" w:after="120"/>
      </w:pPr>
      <w:r>
        <w:rPr>
          <w:rFonts w:ascii="Times New Roman" w:cs="Times New Roman" w:eastAsia="Times New Roman" w:hAnsi="Times New Roman"/>
          <w:b/>
          <w:bCs/>
          <w:color w:val="004422"/>
          <w:sz w:val="24"/>
          <w:szCs w:val="24"/>
        </w:rPr>
        <w:t xml:space="preserve">I.2  Objectifs du travail</w:t>
      </w:r>
    </w:p>
    <w:p>
      <w:pPr>
        <w:spacing w:line="360" w:after="120"/>
        <w:ind w:firstLine="720"/>
        <w:jc w:val="both"/>
      </w:pPr>
      <w:r>
        <w:rPr>
          <w:rFonts w:ascii="Times New Roman" w:cs="Times New Roman" w:eastAsia="Times New Roman" w:hAnsi="Times New Roman"/>
          <w:sz w:val="24"/>
          <w:szCs w:val="24"/>
        </w:rPr>
        <w:t xml:space="preserve">Ce compte rendu académique poursuit trois objectifs complémentaires. Il s'agit premièrement d'exposer les formalismes mathématiques sous-jacents aux différents algorithmes de partitionnement. Deuxièmement, de comparer leurs propriétés asymptotiques (complexité temporelle et spatiale) ainsi que leurs hypothèses géométriques implicites. Troisièmement, de proposer un cadre d'évaluation intrinsèque permettant de sélectionner la méthode la plus adaptée à une topologie de données donnée.</w:t>
      </w:r>
    </w:p>
    <w:p>
      <w:pPr>
        <w:pStyle w:val="Heading2"/>
        <w:spacing w:before="240" w:after="120"/>
      </w:pPr>
      <w:r>
        <w:rPr>
          <w:rFonts w:ascii="Times New Roman" w:cs="Times New Roman" w:eastAsia="Times New Roman" w:hAnsi="Times New Roman"/>
          <w:b/>
          <w:bCs/>
          <w:color w:val="004422"/>
          <w:sz w:val="24"/>
          <w:szCs w:val="24"/>
        </w:rPr>
        <w:t xml:space="preserve">I.3  Méthodologie adoptée</w:t>
      </w:r>
    </w:p>
    <w:p>
      <w:pPr>
        <w:spacing w:line="360" w:after="120"/>
        <w:ind w:firstLine="720"/>
        <w:jc w:val="both"/>
      </w:pPr>
      <w:r>
        <w:rPr>
          <w:rFonts w:ascii="Times New Roman" w:cs="Times New Roman" w:eastAsia="Times New Roman" w:hAnsi="Times New Roman"/>
          <w:sz w:val="24"/>
          <w:szCs w:val="24"/>
        </w:rPr>
        <w:t xml:space="preserve">La démarche suivie s'articule autour d'une revue analytique de l'état de l'art. Chaque algorithme est présenté selon une structure uniforme : formalisation du problème d'optimisation, description des hypothèses implicites, analyse de la complexité algorithmique, implémentation en Python via la bibliothèque scikit-learn, et critique des limites théoriques. L'ensemble est synthétisé dans une matrice comparative multidimensionnelle en fin de document.</w:t>
      </w:r>
    </w:p>
    <w:p>
      <w:pPr>
        <w:spacing w:after="60"/>
      </w:pPr>
      <w:r>
        <w:t xml:space="preserve"/>
      </w:r>
    </w:p>
    <w:p>
      <w:pPr>
        <w:pStyle w:val="Heading1"/>
        <w:pBdr>
          <w:bottom w:val="single" w:color="006633" w:sz="8" w:space="1"/>
        </w:pBdr>
        <w:spacing w:before="300" w:after="180"/>
      </w:pPr>
      <w:r>
        <w:rPr>
          <w:rFonts w:ascii="Times New Roman" w:cs="Times New Roman" w:eastAsia="Times New Roman" w:hAnsi="Times New Roman"/>
          <w:b/>
          <w:bCs/>
          <w:color w:val="006633"/>
          <w:sz w:val="28"/>
          <w:szCs w:val="28"/>
        </w:rPr>
        <w:t xml:space="preserve">II. DÉVELOPPEMENT</w:t>
      </w:r>
    </w:p>
    <w:p>
      <w:pPr>
        <w:pStyle w:val="Heading2"/>
        <w:spacing w:before="240" w:after="120"/>
      </w:pPr>
      <w:r>
        <w:rPr>
          <w:rFonts w:ascii="Times New Roman" w:cs="Times New Roman" w:eastAsia="Times New Roman" w:hAnsi="Times New Roman"/>
          <w:b/>
          <w:bCs/>
          <w:color w:val="004422"/>
          <w:sz w:val="24"/>
          <w:szCs w:val="24"/>
        </w:rPr>
        <w:t xml:space="preserve">II.1  Cadre théorique d'évaluation et préparation des données</w:t>
      </w:r>
    </w:p>
    <w:p>
      <w:pPr>
        <w:spacing w:line="360" w:after="120"/>
        <w:ind w:firstLine="720"/>
        <w:jc w:val="both"/>
      </w:pPr>
      <w:r>
        <w:rPr>
          <w:rFonts w:ascii="Times New Roman" w:cs="Times New Roman" w:eastAsia="Times New Roman" w:hAnsi="Times New Roman"/>
          <w:sz w:val="24"/>
          <w:szCs w:val="24"/>
        </w:rPr>
        <w:t xml:space="preserve">Le problème fondamental du clustering consiste, pour un ensemble non étiqueté X = {x1, …, xn} ⊂ ℝd, à inférer une partition C = {C1, …, Ck} telle que l'union des Ci couvre X et que les clusters soient deux à deux disjoints. Avant toute application d'un algorithme basé sur la distance, l'espace métrique doit être conditionné pour neutraliser l'hétérogénéité des échelles.</w:t>
      </w:r>
    </w:p>
    <w:p>
      <w:pPr>
        <w:spacing w:line="360" w:after="120"/>
        <w:ind w:firstLine="720"/>
        <w:jc w:val="both"/>
      </w:pPr>
      <w:r>
        <w:rPr>
          <w:rFonts w:ascii="Times New Roman" w:cs="Times New Roman" w:eastAsia="Times New Roman" w:hAnsi="Times New Roman"/>
          <w:sz w:val="24"/>
          <w:szCs w:val="24"/>
        </w:rPr>
        <w:t xml:space="preserve">Le centrage-réduction (Z-score) s'avère indispensable pour préserver l'isométrie isotrope des distances euclidiennes, tandis que la réduction de dimension par Analyse en Composantes Principales (ACP) permet de contrecarrer la malédiction de la dimensionnalité et de faciliter la visualisation.</w:t>
      </w:r>
    </w:p>
    <w:p>
      <w:pPr>
        <w:spacing w:line="360" w:after="120"/>
        <w:ind w:firstLine="720"/>
        <w:jc w:val="both"/>
      </w:pPr>
      <w:r>
        <w:rPr>
          <w:rFonts w:ascii="Times New Roman" w:cs="Times New Roman" w:eastAsia="Times New Roman" w:hAnsi="Times New Roman"/>
          <w:sz w:val="24"/>
          <w:szCs w:val="24"/>
        </w:rPr>
        <w:t xml:space="preserve">En l'absence de vérité terrain, l'évaluation des partitions s'appuie sur des mesures intrinsèques de compacité et de séparation. Le coefficient de Silhouette, compris entre -1 et 1, quantifie la cohérence intra-cluster relativement à la distance au cluster le plus proche. L'indice de Davies-Bouldin (DBI) mesure la similarité moyenne entre chaque cluster et son plus proche voisin (à minimiser), tandis que l'indice de Calinski-Harabasz évalue le ratio dispersion inter/intra-groupes (à maximiser).</w:t>
      </w:r>
    </w:p>
    <w:p>
      <w:pPr>
        <w:pStyle w:val="Heading2"/>
        <w:spacing w:before="240" w:after="120"/>
      </w:pPr>
      <w:r>
        <w:rPr>
          <w:rFonts w:ascii="Times New Roman" w:cs="Times New Roman" w:eastAsia="Times New Roman" w:hAnsi="Times New Roman"/>
          <w:b/>
          <w:bCs/>
          <w:color w:val="004422"/>
          <w:sz w:val="24"/>
          <w:szCs w:val="24"/>
        </w:rPr>
        <w:t xml:space="preserve">II.2  Algorithmes de partitionnement par centroïdes</w:t>
      </w:r>
    </w:p>
    <w:p>
      <w:pPr>
        <w:spacing w:line="360" w:after="120"/>
        <w:ind w:firstLine="720"/>
        <w:jc w:val="both"/>
      </w:pPr>
      <w:r>
        <w:rPr>
          <w:rFonts w:ascii="Times New Roman" w:cs="Times New Roman" w:eastAsia="Times New Roman" w:hAnsi="Times New Roman"/>
          <w:sz w:val="24"/>
          <w:szCs w:val="24"/>
        </w:rPr>
        <w:t xml:space="preserve">L'algorithme de Lloyd-Forgy, communément désigné sous le nom K-Means, constitue l'approche la plus répandue. Il vise à minimiser la variance intra-cluster, ou Within-Cluster Sum of Squares (WCSS). La convergence vers un optimum global n'étant pas garantie, le pré-conditionnement de l'initialisation via l'algorithme K-Means++ (Arthur &amp; Vassilvitskii, 2007) s'avère mathématiquement indispensable pour borner l'erreur. Sa complexité temporelle est de l'ordre de O(n·k·d·i). Il présente toutefois une sensibilité prononcée aux points aberrants et échoue face à des topologies non-linéaires imbriquées.</w:t>
      </w:r>
    </w:p>
    <w:p>
      <w:pPr>
        <w:spacing w:line="360" w:after="120"/>
        <w:ind w:firstLine="720"/>
        <w:jc w:val="both"/>
      </w:pPr>
      <w:r>
        <w:rPr>
          <w:rFonts w:ascii="Times New Roman" w:cs="Times New Roman" w:eastAsia="Times New Roman" w:hAnsi="Times New Roman"/>
          <w:sz w:val="24"/>
          <w:szCs w:val="24"/>
        </w:rPr>
        <w:t xml:space="preserve">L'algorithme des K-Medoids (PAM — Partitioning Around Medoids) corrige ce défaut en élisant des observations strictement existantes de l'espace échantillon comme représentants, conférant ainsi une robustesse statistique supérieure aux mesures extrêmes (outliers). Sa complexité quadratique O(i·k·(n-k)²) en limite toutefois l'applicabilité aux grands ensembles, rendant nécessaire le recours à des heuristiques par sous-échantillonnage telles que CLARA ou CLARANS pour des données de grande taille (N &gt; 10⁴). La variante K-Medians actualise pour sa part le centroïde sur la médiane marginale, maximisant la vraisemblance d'une loi de Laplace locale.</w:t>
      </w:r>
    </w:p>
    <w:p>
      <w:pPr>
        <w:pStyle w:val="Heading2"/>
        <w:spacing w:before="240" w:after="120"/>
      </w:pPr>
      <w:r>
        <w:rPr>
          <w:rFonts w:ascii="Times New Roman" w:cs="Times New Roman" w:eastAsia="Times New Roman" w:hAnsi="Times New Roman"/>
          <w:b/>
          <w:bCs/>
          <w:color w:val="004422"/>
          <w:sz w:val="24"/>
          <w:szCs w:val="24"/>
        </w:rPr>
        <w:t xml:space="preserve">II.3  Algorithmes basés sur la densité</w:t>
      </w:r>
    </w:p>
    <w:p>
      <w:pPr>
        <w:spacing w:line="360" w:after="120"/>
        <w:ind w:firstLine="720"/>
        <w:jc w:val="both"/>
      </w:pPr>
      <w:r>
        <w:rPr>
          <w:rFonts w:ascii="Times New Roman" w:cs="Times New Roman" w:eastAsia="Times New Roman" w:hAnsi="Times New Roman"/>
          <w:sz w:val="24"/>
          <w:szCs w:val="24"/>
        </w:rPr>
        <w:t xml:space="preserve">Les algorithmes fondés sur la densité lèvent l'axiome limitant de la convexité imposé par K-Means, en exploitant des concepts de topologie connexe. L'algorithme DBSCAN (Density-Based Spatial Clustering of Applications with Noise), introduit par Ester et al. en 1996, définit la structure à partir de voisinages epsilon. Un point est dit « point cœur » si son epsilon-voisinage contient au moins MinPts points. Sa complexité empirique est de O(n log n) grâce aux structures d'indexation géométrique, bien que le pire des cas soit O(n²). Sa principale limite réside dans l'asymétrie du couple d'hyperparamètres (epsilon, MinPts) face aux densités hétérogènes.</w:t>
      </w:r>
    </w:p>
    <w:p>
      <w:pPr>
        <w:spacing w:line="360" w:after="120"/>
        <w:ind w:firstLine="720"/>
        <w:jc w:val="both"/>
      </w:pPr>
      <w:r>
        <w:rPr>
          <w:rFonts w:ascii="Times New Roman" w:cs="Times New Roman" w:eastAsia="Times New Roman" w:hAnsi="Times New Roman"/>
          <w:sz w:val="24"/>
          <w:szCs w:val="24"/>
        </w:rPr>
        <w:t xml:space="preserve">HDBSCAN résout ce problème d'hétérogénéité en construisant un arbre couvrant de poids minimum basé sur la distance d'atteignabilité mutuelle, puis en extrayant la persistance hiérarchique des séparations. Chaque partition maximise la somme globale des stabilités, et un score d'appartenance probabiliste est intrinsèquement associé à chaque point. HDBSCAN s'est aujourd'hui imposé comme l'outil de référence industrielle pour les données brutes sans pré-conditionnement. La variante OPTICS génère quant à elle un graphe ordonné sous forme de « vallées topologiques », dont la paramétrisation xi demeure ardue à calibrer manuellement.</w:t>
      </w:r>
    </w:p>
    <w:p>
      <w:pPr>
        <w:pStyle w:val="Heading2"/>
        <w:spacing w:before="240" w:after="120"/>
      </w:pPr>
      <w:r>
        <w:rPr>
          <w:rFonts w:ascii="Times New Roman" w:cs="Times New Roman" w:eastAsia="Times New Roman" w:hAnsi="Times New Roman"/>
          <w:b/>
          <w:bCs/>
          <w:color w:val="004422"/>
          <w:sz w:val="24"/>
          <w:szCs w:val="24"/>
        </w:rPr>
        <w:t xml:space="preserve">II.4  Inférence probabiliste — Modèles de Mélanges Gaussiens (GMM)</w:t>
      </w:r>
    </w:p>
    <w:p>
      <w:pPr>
        <w:spacing w:line="360" w:after="120"/>
        <w:ind w:firstLine="720"/>
        <w:jc w:val="both"/>
      </w:pPr>
      <w:r>
        <w:rPr>
          <w:rFonts w:ascii="Times New Roman" w:cs="Times New Roman" w:eastAsia="Times New Roman" w:hAnsi="Times New Roman"/>
          <w:sz w:val="24"/>
          <w:szCs w:val="24"/>
        </w:rPr>
        <w:t xml:space="preserve">Les Modèles de Mélanges Gaussiens formulent le clustering comme un problème d'estimation de paramètres d'une densité marginale. Chaque donnée est supposée générée par une somme pondérée de K gaussiennes, les poids constituant les probabilités a priori d'appartenance à chaque composante. L'apprentissage s'effectue via l'algorithme Espérance-Maximisation (EM), alternant une étape E d'inférence bayésienne des responsabilités floues et une étape M de maximisation des estimateurs du maximum de vraisemblance.</w:t>
      </w:r>
    </w:p>
    <w:p>
      <w:pPr>
        <w:spacing w:line="360" w:after="120"/>
        <w:ind w:firstLine="720"/>
        <w:jc w:val="both"/>
      </w:pPr>
      <w:r>
        <w:rPr>
          <w:rFonts w:ascii="Times New Roman" w:cs="Times New Roman" w:eastAsia="Times New Roman" w:hAnsi="Times New Roman"/>
          <w:sz w:val="24"/>
          <w:szCs w:val="24"/>
        </w:rPr>
        <w:t xml:space="preserve">La nature du tenseur de covariance conditionne fortement la topologie du modèle : de la forme sphérique isotrope (analogue au K-Means) jusqu'à la forme « full » autorisant des covariances asymétriques arbitraires par classe, au prix d'un risque de singularité numérique en haute dimension. La sélection du nombre de composantes K repose sur les critères d'information de l'Akaike (AIC) et de Bayes (BIC), plutôt que sur la métrique de Silhouette, plus instable.</w:t>
      </w:r>
    </w:p>
    <w:p>
      <w:pPr>
        <w:pStyle w:val="Heading2"/>
        <w:spacing w:before="240" w:after="120"/>
      </w:pPr>
      <w:r>
        <w:rPr>
          <w:rFonts w:ascii="Times New Roman" w:cs="Times New Roman" w:eastAsia="Times New Roman" w:hAnsi="Times New Roman"/>
          <w:b/>
          <w:bCs/>
          <w:color w:val="004422"/>
          <w:sz w:val="24"/>
          <w:szCs w:val="24"/>
        </w:rPr>
        <w:t xml:space="preserve">II.5  Partitionnement spectral et approches avancées</w:t>
      </w:r>
    </w:p>
    <w:p>
      <w:pPr>
        <w:spacing w:line="360" w:after="120"/>
        <w:ind w:firstLine="720"/>
        <w:jc w:val="both"/>
      </w:pPr>
      <w:r>
        <w:rPr>
          <w:rFonts w:ascii="Times New Roman" w:cs="Times New Roman" w:eastAsia="Times New Roman" w:hAnsi="Times New Roman"/>
          <w:sz w:val="24"/>
          <w:szCs w:val="24"/>
        </w:rPr>
        <w:t xml:space="preserve">Le clustering spectral transforme le problème géométrique en un problème d'algèbre linéaire en opérant une réduction dans les sous-espaces laplaciens du graphe de similarité. À partir d'une matrice d'adjacence construite via un noyau RBF, le Laplacien Symétrique Normalisé est calculé, puis ses k plus petites valeurs propres (distinctes de zéro) définissent un espace de projection canonique sur lequel un K-Means classique est appliqué. Il constitue le seul algorithme historiquement capable de traiter des architectures d'anneaux non-convexes, au prix d'une complexité temporelle de O(n³) qui le rend difficilement applicable à grande échelle.</w:t>
      </w:r>
    </w:p>
    <w:p>
      <w:pPr>
        <w:spacing w:line="360" w:after="120"/>
        <w:ind w:firstLine="720"/>
        <w:jc w:val="both"/>
      </w:pPr>
      <w:r>
        <w:rPr>
          <w:rFonts w:ascii="Times New Roman" w:cs="Times New Roman" w:eastAsia="Times New Roman" w:hAnsi="Times New Roman"/>
          <w:sz w:val="24"/>
          <w:szCs w:val="24"/>
        </w:rPr>
        <w:t xml:space="preserve">La propagation de l'affinité (Affinity Propagation) de Frey &amp; Dueck (2007) opère par échange itératif de messages entre paires de points — « availability » et « responsibility » — sans nécessiter de spécification préalable du nombre de clusters. Sa complexité structurelle de O(N²) la rend toutefois peu adaptée aux contextes Big Data.</w:t>
      </w:r>
    </w:p>
    <w:p>
      <w:pPr>
        <w:spacing w:line="360" w:after="120"/>
        <w:ind w:firstLine="720"/>
        <w:jc w:val="both"/>
      </w:pPr>
      <w:r>
        <w:rPr>
          <w:rFonts w:ascii="Times New Roman" w:cs="Times New Roman" w:eastAsia="Times New Roman" w:hAnsi="Times New Roman"/>
          <w:sz w:val="24"/>
          <w:szCs w:val="24"/>
        </w:rPr>
        <w:t xml:space="preserve">Les cartes topologiques auto-organisatrices de Kohonen (SOM) constituent l'équivalent cognitif non supervisé des réseaux compétitifs, projetant un réseau bidimensionnel vers l'espace échantillon par apprentissage hebbien à fonction de voisinage gaussienne décroissante.</w:t>
      </w:r>
    </w:p>
    <w:p>
      <w:pPr>
        <w:spacing w:line="360" w:after="120"/>
        <w:ind w:firstLine="720"/>
        <w:jc w:val="both"/>
      </w:pPr>
      <w:r>
        <w:rPr>
          <w:rFonts w:ascii="Times New Roman" w:cs="Times New Roman" w:eastAsia="Times New Roman" w:hAnsi="Times New Roman"/>
          <w:sz w:val="24"/>
          <w:szCs w:val="24"/>
        </w:rPr>
        <w:t xml:space="preserve">Enfin, UMAP (Uniform Manifold Approximation and Projection) construit sur l'algèbre simpliciale et la topologie algébrique, postule que les données sont uniformément réparties sur une variété riemannienne finie. La combinaison UMAP → K-Means permet de découpler la malédiction de la dimensionnalité préalablement aux hypothèses sphériques de Lloyd, en préservant l'isométrie globale — contrairement à t-SNE qui n'exploite que la divergence de Kullback-Leibler.</w:t>
      </w:r>
    </w:p>
    <w:p>
      <w:pPr>
        <w:spacing w:after="60"/>
      </w:pPr>
      <w:r>
        <w:t xml:space="preserve"/>
      </w:r>
    </w:p>
    <w:p>
      <w:pPr>
        <w:pStyle w:val="Heading1"/>
        <w:pBdr>
          <w:bottom w:val="single" w:color="006633" w:sz="8" w:space="1"/>
        </w:pBdr>
        <w:spacing w:before="300" w:after="180"/>
      </w:pPr>
      <w:r>
        <w:rPr>
          <w:rFonts w:ascii="Times New Roman" w:cs="Times New Roman" w:eastAsia="Times New Roman" w:hAnsi="Times New Roman"/>
          <w:b/>
          <w:bCs/>
          <w:color w:val="006633"/>
          <w:sz w:val="28"/>
          <w:szCs w:val="28"/>
        </w:rPr>
        <w:t xml:space="preserve">III. RÉSULTATS ET DISCUSSION</w:t>
      </w:r>
    </w:p>
    <w:p>
      <w:pPr>
        <w:pStyle w:val="Heading2"/>
        <w:spacing w:before="240" w:after="120"/>
      </w:pPr>
      <w:r>
        <w:rPr>
          <w:rFonts w:ascii="Times New Roman" w:cs="Times New Roman" w:eastAsia="Times New Roman" w:hAnsi="Times New Roman"/>
          <w:b/>
          <w:bCs/>
          <w:color w:val="004422"/>
          <w:sz w:val="24"/>
          <w:szCs w:val="24"/>
        </w:rPr>
        <w:t xml:space="preserve">III.1  Matrice comparative des algorithmes</w:t>
      </w:r>
    </w:p>
    <w:p>
      <w:pPr>
        <w:spacing w:line="360" w:after="120"/>
        <w:ind/>
        <w:jc w:val="both"/>
      </w:pPr>
      <w:r>
        <w:rPr>
          <w:rFonts w:ascii="Times New Roman" w:cs="Times New Roman" w:eastAsia="Times New Roman" w:hAnsi="Times New Roman"/>
          <w:sz w:val="24"/>
          <w:szCs w:val="24"/>
        </w:rPr>
        <w:t xml:space="preserve">Le tableau ci-après synthétise les propriétés asymptotiques et géométriques des principaux algorithmes étudiés.</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726"/>
        <w:gridCol w:w="2000"/>
        <w:gridCol w:w="1100"/>
        <w:gridCol w:w="1200"/>
      </w:tblGrid>
      <w:tr>
        <w:tc>
          <w:tcPr>
            <w:tcW w:type="dxa" w:w="1600"/>
            <w:tcBorders>
              <w:top w:val="single" w:color="BBBBBB" w:sz="1"/>
              <w:left w:val="single" w:color="BBBBBB" w:sz="1"/>
              <w:bottom w:val="single" w:color="BBBBBB" w:sz="1"/>
              <w:right w:val="single" w:color="BBBBBB" w:sz="1"/>
            </w:tcBorders>
            <w:shd w:fill="D9EAD3" w:val="clear"/>
            <w:tcMar>
              <w:top w:type="dxa" w:w="80"/>
              <w:left w:type="dxa" w:w="120"/>
              <w:bottom w:type="dxa" w:w="80"/>
              <w:right w:type="dxa" w:w="120"/>
            </w:tcMar>
          </w:tcPr>
          <w:p>
            <w:pPr>
              <w:jc w:val="center"/>
            </w:pPr>
            <w:r>
              <w:rPr>
                <w:rFonts w:ascii="Times New Roman" w:cs="Times New Roman" w:eastAsia="Times New Roman" w:hAnsi="Times New Roman"/>
                <w:b/>
                <w:bCs/>
                <w:color w:val="004422"/>
                <w:sz w:val="22"/>
                <w:szCs w:val="22"/>
              </w:rPr>
              <w:t xml:space="preserve">Famille</w:t>
            </w:r>
          </w:p>
        </w:tc>
        <w:tc>
          <w:tcPr>
            <w:tcW w:type="dxa" w:w="1400"/>
            <w:tcBorders>
              <w:top w:val="single" w:color="BBBBBB" w:sz="1"/>
              <w:left w:val="single" w:color="BBBBBB" w:sz="1"/>
              <w:bottom w:val="single" w:color="BBBBBB" w:sz="1"/>
              <w:right w:val="single" w:color="BBBBBB" w:sz="1"/>
            </w:tcBorders>
            <w:shd w:fill="D9EAD3" w:val="clear"/>
            <w:tcMar>
              <w:top w:type="dxa" w:w="80"/>
              <w:left w:type="dxa" w:w="120"/>
              <w:bottom w:type="dxa" w:w="80"/>
              <w:right w:type="dxa" w:w="120"/>
            </w:tcMar>
          </w:tcPr>
          <w:p>
            <w:pPr>
              <w:jc w:val="center"/>
            </w:pPr>
            <w:r>
              <w:rPr>
                <w:rFonts w:ascii="Times New Roman" w:cs="Times New Roman" w:eastAsia="Times New Roman" w:hAnsi="Times New Roman"/>
                <w:b/>
                <w:bCs/>
                <w:color w:val="004422"/>
                <w:sz w:val="22"/>
                <w:szCs w:val="22"/>
              </w:rPr>
              <w:t xml:space="preserve">Algorithme</w:t>
            </w:r>
          </w:p>
        </w:tc>
        <w:tc>
          <w:tcPr>
            <w:tcW w:type="dxa" w:w="1726"/>
            <w:tcBorders>
              <w:top w:val="single" w:color="BBBBBB" w:sz="1"/>
              <w:left w:val="single" w:color="BBBBBB" w:sz="1"/>
              <w:bottom w:val="single" w:color="BBBBBB" w:sz="1"/>
              <w:right w:val="single" w:color="BBBBBB" w:sz="1"/>
            </w:tcBorders>
            <w:shd w:fill="D9EAD3" w:val="clear"/>
            <w:tcMar>
              <w:top w:type="dxa" w:w="80"/>
              <w:left w:type="dxa" w:w="120"/>
              <w:bottom w:type="dxa" w:w="80"/>
              <w:right w:type="dxa" w:w="120"/>
            </w:tcMar>
          </w:tcPr>
          <w:p>
            <w:pPr>
              <w:jc w:val="center"/>
            </w:pPr>
            <w:r>
              <w:rPr>
                <w:rFonts w:ascii="Times New Roman" w:cs="Times New Roman" w:eastAsia="Times New Roman" w:hAnsi="Times New Roman"/>
                <w:b/>
                <w:bCs/>
                <w:color w:val="004422"/>
                <w:sz w:val="22"/>
                <w:szCs w:val="22"/>
              </w:rPr>
              <w:t xml:space="preserve">Complexité (Temps)</w:t>
            </w:r>
          </w:p>
        </w:tc>
        <w:tc>
          <w:tcPr>
            <w:tcW w:type="dxa" w:w="2000"/>
            <w:tcBorders>
              <w:top w:val="single" w:color="BBBBBB" w:sz="1"/>
              <w:left w:val="single" w:color="BBBBBB" w:sz="1"/>
              <w:bottom w:val="single" w:color="BBBBBB" w:sz="1"/>
              <w:right w:val="single" w:color="BBBBBB" w:sz="1"/>
            </w:tcBorders>
            <w:shd w:fill="D9EAD3" w:val="clear"/>
            <w:tcMar>
              <w:top w:type="dxa" w:w="80"/>
              <w:left w:type="dxa" w:w="120"/>
              <w:bottom w:type="dxa" w:w="80"/>
              <w:right w:type="dxa" w:w="120"/>
            </w:tcMar>
          </w:tcPr>
          <w:p>
            <w:pPr>
              <w:jc w:val="center"/>
            </w:pPr>
            <w:r>
              <w:rPr>
                <w:rFonts w:ascii="Times New Roman" w:cs="Times New Roman" w:eastAsia="Times New Roman" w:hAnsi="Times New Roman"/>
                <w:b/>
                <w:bCs/>
                <w:color w:val="004422"/>
                <w:sz w:val="22"/>
                <w:szCs w:val="22"/>
              </w:rPr>
              <w:t xml:space="preserve">Topologie implicite</w:t>
            </w:r>
          </w:p>
        </w:tc>
        <w:tc>
          <w:tcPr>
            <w:tcW w:type="dxa" w:w="1100"/>
            <w:tcBorders>
              <w:top w:val="single" w:color="BBBBBB" w:sz="1"/>
              <w:left w:val="single" w:color="BBBBBB" w:sz="1"/>
              <w:bottom w:val="single" w:color="BBBBBB" w:sz="1"/>
              <w:right w:val="single" w:color="BBBBBB" w:sz="1"/>
            </w:tcBorders>
            <w:shd w:fill="D9EAD3" w:val="clear"/>
            <w:tcMar>
              <w:top w:type="dxa" w:w="80"/>
              <w:left w:type="dxa" w:w="120"/>
              <w:bottom w:type="dxa" w:w="80"/>
              <w:right w:type="dxa" w:w="120"/>
            </w:tcMar>
          </w:tcPr>
          <w:p>
            <w:pPr>
              <w:jc w:val="center"/>
            </w:pPr>
            <w:r>
              <w:rPr>
                <w:rFonts w:ascii="Times New Roman" w:cs="Times New Roman" w:eastAsia="Times New Roman" w:hAnsi="Times New Roman"/>
                <w:b/>
                <w:bCs/>
                <w:color w:val="004422"/>
                <w:sz w:val="22"/>
                <w:szCs w:val="22"/>
              </w:rPr>
              <w:t xml:space="preserve">Non-convexité</w:t>
            </w:r>
          </w:p>
        </w:tc>
        <w:tc>
          <w:tcPr>
            <w:tcW w:type="dxa" w:w="1200"/>
            <w:tcBorders>
              <w:top w:val="single" w:color="BBBBBB" w:sz="1"/>
              <w:left w:val="single" w:color="BBBBBB" w:sz="1"/>
              <w:bottom w:val="single" w:color="BBBBBB" w:sz="1"/>
              <w:right w:val="single" w:color="BBBBBB" w:sz="1"/>
            </w:tcBorders>
            <w:shd w:fill="D9EAD3" w:val="clear"/>
            <w:tcMar>
              <w:top w:type="dxa" w:w="80"/>
              <w:left w:type="dxa" w:w="120"/>
              <w:bottom w:type="dxa" w:w="80"/>
              <w:right w:type="dxa" w:w="120"/>
            </w:tcMar>
          </w:tcPr>
          <w:p>
            <w:pPr>
              <w:jc w:val="center"/>
            </w:pPr>
            <w:r>
              <w:rPr>
                <w:rFonts w:ascii="Times New Roman" w:cs="Times New Roman" w:eastAsia="Times New Roman" w:hAnsi="Times New Roman"/>
                <w:b/>
                <w:bCs/>
                <w:color w:val="004422"/>
                <w:sz w:val="22"/>
                <w:szCs w:val="22"/>
              </w:rPr>
              <w:t xml:space="preserve">Type de sortie</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Partition</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K-Means</w:t>
            </w:r>
          </w:p>
        </w:tc>
        <w:tc>
          <w:tcPr>
            <w:tcW w:type="dxa" w:w="17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O(n·k·d·i)</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Hypersphères isotropes</w:t>
            </w:r>
          </w:p>
        </w:tc>
        <w:tc>
          <w:tcPr>
            <w:tcW w:type="dxa" w:w="1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Non</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Hard (centrique)</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Partition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K-Medoids</w:t>
            </w:r>
          </w:p>
        </w:tc>
        <w:tc>
          <w:tcPr>
            <w:tcW w:type="dxa" w:w="17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O(k·(n-k)²·i)</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Points nodaux</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Non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Hard (robuste)</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Densité</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DBSCAN</w:t>
            </w:r>
          </w:p>
        </w:tc>
        <w:tc>
          <w:tcPr>
            <w:tcW w:type="dxa" w:w="17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O(n log n) / O(n²)</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Adjacence topographique</w:t>
            </w:r>
          </w:p>
        </w:tc>
        <w:tc>
          <w:tcPr>
            <w:tcW w:type="dxa" w:w="1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Oui</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Hard + bruit</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Densité</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HDBSCAN</w:t>
            </w:r>
          </w:p>
        </w:tc>
        <w:tc>
          <w:tcPr>
            <w:tcW w:type="dxa" w:w="17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O(n log n) / O(n²)</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Arbre de persistance</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Oui</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Soft + bruit</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Génératif</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GMM (EM)</w:t>
            </w:r>
          </w:p>
        </w:tc>
        <w:tc>
          <w:tcPr>
            <w:tcW w:type="dxa" w:w="17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O(n·k·d³·i)</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Ellipsoïdes asymétriques</w:t>
            </w:r>
          </w:p>
        </w:tc>
        <w:tc>
          <w:tcPr>
            <w:tcW w:type="dxa" w:w="1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Non</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Probabiliste (Soft)</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Spectral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Spect. Clust.</w:t>
            </w:r>
          </w:p>
        </w:tc>
        <w:tc>
          <w:tcPr>
            <w:tcW w:type="dxa" w:w="17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O(n³)</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Manifold laplacien</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Oui</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Hard (graph-cut)</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Réduction</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UMAP + KM</w:t>
            </w:r>
          </w:p>
        </w:tc>
        <w:tc>
          <w:tcPr>
            <w:tcW w:type="dxa" w:w="17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O(n·d) empirique</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Complexe simplicial</w:t>
            </w:r>
          </w:p>
        </w:tc>
        <w:tc>
          <w:tcPr>
            <w:tcW w:type="dxa" w:w="1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Oui</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Topol. projetée</w:t>
            </w:r>
          </w:p>
        </w:tc>
      </w:tr>
    </w:tbl>
    <w:p>
      <w:pPr>
        <w:spacing w:before="100" w:after="300"/>
        <w:jc w:val="center"/>
      </w:pPr>
      <w:r>
        <w:rPr>
          <w:rFonts w:ascii="Times New Roman" w:cs="Times New Roman" w:eastAsia="Times New Roman" w:hAnsi="Times New Roman"/>
          <w:color w:val="666666"/>
          <w:sz w:val="20"/>
          <w:szCs w:val="20"/>
        </w:rPr>
        <w:t xml:space="preserve">Tableau 1 : Comparaison asymptotique et géométrique des algorithmes de clustering étudiés</w:t>
      </w:r>
    </w:p>
    <w:p>
      <w:pPr>
        <w:pStyle w:val="Heading2"/>
        <w:spacing w:before="240" w:after="120"/>
      </w:pPr>
      <w:r>
        <w:rPr>
          <w:rFonts w:ascii="Times New Roman" w:cs="Times New Roman" w:eastAsia="Times New Roman" w:hAnsi="Times New Roman"/>
          <w:b/>
          <w:bCs/>
          <w:color w:val="004422"/>
          <w:sz w:val="24"/>
          <w:szCs w:val="24"/>
        </w:rPr>
        <w:t xml:space="preserve">III.2  Interprétation et analyse critique</w:t>
      </w:r>
    </w:p>
    <w:p>
      <w:pPr>
        <w:spacing w:line="360" w:after="120"/>
        <w:ind w:firstLine="720"/>
        <w:jc w:val="both"/>
      </w:pPr>
      <w:r>
        <w:rPr>
          <w:rFonts w:ascii="Times New Roman" w:cs="Times New Roman" w:eastAsia="Times New Roman" w:hAnsi="Times New Roman"/>
          <w:sz w:val="24"/>
          <w:szCs w:val="24"/>
        </w:rPr>
        <w:t xml:space="preserve">L'analyse comparée met en évidence plusieurs tensions fondamentales dans la sélection d'un algorithme de partitionnement. La rapidité d'exécution du K-Means, en O(n), s'oppose à ses hypothèses géométriques restrictives (convexité, isotropie), qui le rendent inefficace face à des données à topologie complexe. À l'inverse, le Clustering Spectral, seul à garantir la détection d'anneaux non-convexes, pâtit d'une complexité cubique le rendant inutilisable à grande échelle.</w:t>
      </w:r>
    </w:p>
    <w:p>
      <w:pPr>
        <w:spacing w:line="360" w:after="120"/>
        <w:ind w:firstLine="720"/>
        <w:jc w:val="both"/>
      </w:pPr>
      <w:r>
        <w:rPr>
          <w:rFonts w:ascii="Times New Roman" w:cs="Times New Roman" w:eastAsia="Times New Roman" w:hAnsi="Times New Roman"/>
          <w:sz w:val="24"/>
          <w:szCs w:val="24"/>
        </w:rPr>
        <w:t xml:space="preserve">HDBSCAN apparaît comme le meilleur compromis pour les données réelles bruyantes : il n'exige aucune connaissance préalable du nombre de clusters, produit des scores d'appartenance probabilistes et s'adapte aux densités hétérogènes. Toutefois, son calibrage optimal nécessite une attention particulière au paramètre de taille minimale de cluster.</w:t>
      </w:r>
    </w:p>
    <w:p>
      <w:pPr>
        <w:spacing w:line="360" w:after="120"/>
        <w:ind w:firstLine="720"/>
        <w:jc w:val="both"/>
      </w:pPr>
      <w:r>
        <w:rPr>
          <w:rFonts w:ascii="Times New Roman" w:cs="Times New Roman" w:eastAsia="Times New Roman" w:hAnsi="Times New Roman"/>
          <w:sz w:val="24"/>
          <w:szCs w:val="24"/>
        </w:rPr>
        <w:t xml:space="preserve">Le modèle GMM, par son fondement bayésien, demeure la référence pour les applications nécessitant une interprétation probabiliste formelle, à condition que la dimension d ne soit pas trop élevée par rapport à la taille de l'échantillon n, afin d'éviter les problèmes de conditionnement numérique.</w:t>
      </w:r>
    </w:p>
    <w:p>
      <w:pPr>
        <w:pStyle w:val="Heading2"/>
        <w:spacing w:before="240" w:after="120"/>
      </w:pPr>
      <w:r>
        <w:rPr>
          <w:rFonts w:ascii="Times New Roman" w:cs="Times New Roman" w:eastAsia="Times New Roman" w:hAnsi="Times New Roman"/>
          <w:b/>
          <w:bCs/>
          <w:color w:val="004422"/>
          <w:sz w:val="24"/>
          <w:szCs w:val="24"/>
        </w:rPr>
        <w:t xml:space="preserve">III.3  Limites et axes d'amélioration</w:t>
      </w:r>
    </w:p>
    <w:p>
      <w:pPr>
        <w:spacing w:line="360" w:after="120"/>
        <w:ind w:firstLine="720"/>
        <w:jc w:val="both"/>
      </w:pPr>
      <w:r>
        <w:rPr>
          <w:rFonts w:ascii="Times New Roman" w:cs="Times New Roman" w:eastAsia="Times New Roman" w:hAnsi="Times New Roman"/>
          <w:sz w:val="24"/>
          <w:szCs w:val="24"/>
        </w:rPr>
        <w:t xml:space="preserve">Ce travail présente plusieurs limites à prendre en compte. L'évaluation des algorithmes repose sur des métriques intrinsèques, susceptibles de favoriser les partitions compactes au détriment de la pertinence applicative. Par ailleurs, l'analyse asymptotique de la complexité ne reflète pas nécessairement les performances empiriques sur des données réelles, compte tenu des facteurs constants et des effets de cache mémoire.</w:t>
      </w:r>
    </w:p>
    <w:p>
      <w:pPr>
        <w:spacing w:line="360" w:after="120"/>
        <w:ind w:firstLine="720"/>
        <w:jc w:val="both"/>
      </w:pPr>
      <w:r>
        <w:rPr>
          <w:rFonts w:ascii="Times New Roman" w:cs="Times New Roman" w:eastAsia="Times New Roman" w:hAnsi="Times New Roman"/>
          <w:sz w:val="24"/>
          <w:szCs w:val="24"/>
        </w:rPr>
        <w:t xml:space="preserve">Des pistes d'amélioration peuvent être envisagées : la mise en œuvre d'une expérimentation comparée sur des jeux de données standards (Iris, MNIST, make_blobs), le développement d'un arbre de décision interactif pour la sélection d'algorithme, et l'exploration de méthodes ensemblistes de consensus clustering pour combiner les forces de plusieurs approches.</w:t>
      </w:r>
    </w:p>
    <w:p>
      <w:pPr>
        <w:spacing w:after="60"/>
      </w:pPr>
      <w:r>
        <w:t xml:space="preserve"/>
      </w:r>
    </w:p>
    <w:p>
      <w:pPr>
        <w:pStyle w:val="Heading1"/>
        <w:pBdr>
          <w:bottom w:val="single" w:color="006633" w:sz="8" w:space="1"/>
        </w:pBdr>
        <w:spacing w:before="300" w:after="180"/>
      </w:pPr>
      <w:r>
        <w:rPr>
          <w:rFonts w:ascii="Times New Roman" w:cs="Times New Roman" w:eastAsia="Times New Roman" w:hAnsi="Times New Roman"/>
          <w:b/>
          <w:bCs/>
          <w:color w:val="006633"/>
          <w:sz w:val="28"/>
          <w:szCs w:val="28"/>
        </w:rPr>
        <w:t xml:space="preserve">IV. CONCLUSION</w:t>
      </w:r>
    </w:p>
    <w:p>
      <w:pPr>
        <w:spacing w:line="360" w:after="120"/>
        <w:ind w:firstLine="720"/>
        <w:jc w:val="both"/>
      </w:pPr>
      <w:r>
        <w:rPr>
          <w:rFonts w:ascii="Times New Roman" w:cs="Times New Roman" w:eastAsia="Times New Roman" w:hAnsi="Times New Roman"/>
          <w:sz w:val="24"/>
          <w:szCs w:val="24"/>
        </w:rPr>
        <w:t xml:space="preserve">Ce compte rendu a permis de dresser une cartographie rigoureuse des principales familles d'algorithmes de partitionnement non supervisé : méthodes par centroïdes (K-Means, K-Medoids, K-Medians), méthodes par densité (DBSCAN, HDBSCAN, OPTICS), modèles génératifs probabilistes (GMM-EM), partitionnement spectral, et approches modernes par réduction de variétés (UMAP).</w:t>
      </w:r>
    </w:p>
    <w:p>
      <w:pPr>
        <w:spacing w:line="360" w:after="120"/>
        <w:ind w:firstLine="720"/>
        <w:jc w:val="both"/>
      </w:pPr>
      <w:r>
        <w:rPr>
          <w:rFonts w:ascii="Times New Roman" w:cs="Times New Roman" w:eastAsia="Times New Roman" w:hAnsi="Times New Roman"/>
          <w:sz w:val="24"/>
          <w:szCs w:val="24"/>
        </w:rPr>
        <w:t xml:space="preserve">Il en ressort que le choix d'une méthode de clustering ne saurait être dissocié des caractéristiques topologiques des données (convexité, densité, dimensionnalité), des contraintes opérationnelles (taille de l'ensemble, temps de calcul disponible) et des exigences d'interprétabilité (sortie dure ou probabiliste). L'arbre d'aide à la décision synthétisé dans ce travail offre un cadre pratique pour orienter ce choix en fonction des propriétés du problème traité.</w:t>
      </w:r>
    </w:p>
    <w:p>
      <w:pPr>
        <w:spacing w:line="360" w:after="120"/>
        <w:ind w:firstLine="720"/>
        <w:jc w:val="both"/>
      </w:pPr>
      <w:r>
        <w:rPr>
          <w:rFonts w:ascii="Times New Roman" w:cs="Times New Roman" w:eastAsia="Times New Roman" w:hAnsi="Times New Roman"/>
          <w:sz w:val="24"/>
          <w:szCs w:val="24"/>
        </w:rPr>
        <w:t xml:space="preserve">Ce travail ouvre des perspectives vers l'exploration de méthodes de clustering profond (Deep Clustering) intégrant des représentations apprises par réseaux de neurones, ainsi que vers les techniques de clustering en ligne adaptées aux flux de données continus, deux directions de recherche particulièrement actives en 2025-2026.</w:t>
      </w:r>
    </w:p>
    <w:p>
      <w:pPr>
        <w:spacing w:after="60"/>
      </w:pPr>
      <w:r>
        <w:t xml:space="preserve"/>
      </w:r>
    </w:p>
    <w:p>
      <w:pPr>
        <w:pStyle w:val="Heading1"/>
        <w:pBdr>
          <w:bottom w:val="single" w:color="006633" w:sz="8" w:space="1"/>
        </w:pBdr>
        <w:spacing w:before="300" w:after="180"/>
      </w:pPr>
      <w:r>
        <w:rPr>
          <w:rFonts w:ascii="Times New Roman" w:cs="Times New Roman" w:eastAsia="Times New Roman" w:hAnsi="Times New Roman"/>
          <w:b/>
          <w:bCs/>
          <w:color w:val="006633"/>
          <w:sz w:val="28"/>
          <w:szCs w:val="28"/>
        </w:rPr>
        <w:t xml:space="preserve">BIBLIOGRAPHIE</w:t>
      </w:r>
    </w:p>
    <w:p>
      <w:pPr>
        <w:spacing w:after="120" w:before="60"/>
        <w:ind w:left="720" w:hanging="720"/>
      </w:pPr>
      <w:r>
        <w:rPr>
          <w:rFonts w:ascii="Times New Roman" w:cs="Times New Roman" w:eastAsia="Times New Roman" w:hAnsi="Times New Roman"/>
          <w:sz w:val="22"/>
          <w:szCs w:val="22"/>
        </w:rPr>
        <w:t xml:space="preserve">Arthur, D., &amp; Vassilvitskii, S. (2007). K-means++: The advantages of careful seeding. In Proceedings of SODA 2007 (pp. 1027–1035). ACM.</w:t>
      </w:r>
    </w:p>
    <w:p>
      <w:pPr>
        <w:spacing w:after="120" w:before="60"/>
        <w:ind w:left="720" w:hanging="720"/>
      </w:pPr>
      <w:r>
        <w:rPr>
          <w:rFonts w:ascii="Times New Roman" w:cs="Times New Roman" w:eastAsia="Times New Roman" w:hAnsi="Times New Roman"/>
          <w:sz w:val="22"/>
          <w:szCs w:val="22"/>
        </w:rPr>
        <w:t xml:space="preserve">Ester, M., Kriegel, H.-P., Sander, J., &amp; Xu, X. (1996). A density-based algorithm for discovering clusters in large spatial databases with noise. In KDD-96 Proceedings (pp. 226–231). AAAI Press.</w:t>
      </w:r>
    </w:p>
    <w:p>
      <w:pPr>
        <w:spacing w:after="120" w:before="60"/>
        <w:ind w:left="720" w:hanging="720"/>
      </w:pPr>
      <w:r>
        <w:rPr>
          <w:rFonts w:ascii="Times New Roman" w:cs="Times New Roman" w:eastAsia="Times New Roman" w:hAnsi="Times New Roman"/>
          <w:sz w:val="22"/>
          <w:szCs w:val="22"/>
        </w:rPr>
        <w:t xml:space="preserve">Frey, B. J., &amp; Dueck, D. (2007). Clustering by passing messages between data points. Science, 315(5814), 972–976.</w:t>
      </w:r>
    </w:p>
    <w:p>
      <w:pPr>
        <w:spacing w:after="120" w:before="60"/>
        <w:ind w:left="720" w:hanging="720"/>
      </w:pPr>
      <w:r>
        <w:rPr>
          <w:rFonts w:ascii="Times New Roman" w:cs="Times New Roman" w:eastAsia="Times New Roman" w:hAnsi="Times New Roman"/>
          <w:sz w:val="22"/>
          <w:szCs w:val="22"/>
        </w:rPr>
        <w:t xml:space="preserve">Kaufman, L., &amp; Rousseeuw, P. J. (1990). Finding groups in data: An introduction to cluster analysis. Wiley-Interscience.</w:t>
      </w:r>
    </w:p>
    <w:p>
      <w:pPr>
        <w:spacing w:after="120" w:before="60"/>
        <w:ind w:left="720" w:hanging="720"/>
      </w:pPr>
      <w:r>
        <w:rPr>
          <w:rFonts w:ascii="Times New Roman" w:cs="Times New Roman" w:eastAsia="Times New Roman" w:hAnsi="Times New Roman"/>
          <w:sz w:val="22"/>
          <w:szCs w:val="22"/>
        </w:rPr>
        <w:t xml:space="preserve">McInnes, L., Healy, J., &amp; Astels, S. (2017). HDBSCAN: Hierarchical density based clustering. Journal of Open Source Software, 2(11), 205.</w:t>
      </w:r>
    </w:p>
    <w:p>
      <w:pPr>
        <w:spacing w:after="120" w:before="60"/>
        <w:ind w:left="720" w:hanging="720"/>
      </w:pPr>
      <w:r>
        <w:rPr>
          <w:rFonts w:ascii="Times New Roman" w:cs="Times New Roman" w:eastAsia="Times New Roman" w:hAnsi="Times New Roman"/>
          <w:sz w:val="22"/>
          <w:szCs w:val="22"/>
        </w:rPr>
        <w:t xml:space="preserve">McInnes, L., Healy, J., &amp; Melville, J. (2020). UMAP: Uniform manifold approximation and projection for dimension reduction. arXiv:1802.03426.</w:t>
      </w:r>
    </w:p>
    <w:p>
      <w:pPr>
        <w:spacing w:after="120" w:before="60"/>
        <w:ind w:left="720" w:hanging="720"/>
      </w:pPr>
      <w:r>
        <w:rPr>
          <w:rFonts w:ascii="Times New Roman" w:cs="Times New Roman" w:eastAsia="Times New Roman" w:hAnsi="Times New Roman"/>
          <w:sz w:val="22"/>
          <w:szCs w:val="22"/>
        </w:rPr>
        <w:t xml:space="preserve">Pedregosa, F., et al. (2011). Scikit-learn: Machine learning in Python. Journal of Machine Learning Research, 12, 2825–2830.</w:t>
      </w:r>
    </w:p>
    <w:sectPr>
      <w:footerReference w:type="default" r:id="rId6"/>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20"/>
        <w:szCs w:val="20"/>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80"/>
      <w:outlineLvl w:val="0"/>
    </w:pPr>
    <w:rPr>
      <w:rFonts w:ascii="Times New Roman" w:cs="Times New Roman" w:eastAsia="Times New Roman" w:hAnsi="Times New Roman"/>
      <w:b/>
      <w:bCs/>
      <w:color w:val="006633"/>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0044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2026-03-17T14:21:01.975Z</dcterms:created>
  <dcterms:modified xsi:type="dcterms:W3CDTF">2026-03-17T14:21:01.976Z</dcterms:modified>
</cp:coreProperties>
</file>

<file path=docProps/custom.xml><?xml version="1.0" encoding="utf-8"?>
<Properties xmlns="http://schemas.openxmlformats.org/officeDocument/2006/custom-properties" xmlns:vt="http://schemas.openxmlformats.org/officeDocument/2006/docPropsVTypes"/>
</file>