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6F4A"/>
          <w:sz w:val="76"/>
          <w:szCs w:val="76"/>
        </w:rPr>
        <w:t xml:space="preserve">HStat</w:t>
      </w:r>
    </w:p>
    <w:p>
      <w:pPr>
        <w:spacing w:after="400"/>
        <w:jc w:val="center"/>
      </w:pPr>
      <w:r>
        <w:rPr>
          <w:color w:val="444444"/>
          <w:sz w:val="40"/>
          <w:szCs w:val="40"/>
        </w:rPr>
        <w:t xml:space="preserve">Guide d'utilisation</w:t>
      </w:r>
    </w:p>
    <w:p>
      <w:pPr>
        <w:spacing w:after="1400"/>
        <w:jc w:val="center"/>
      </w:pPr>
      <w:r>
        <w:rPr>
          <w:i/>
          <w:iCs/>
          <w:color w:val="666666"/>
          <w:sz w:val="24"/>
          <w:szCs w:val="24"/>
        </w:rPr>
        <w:t xml:space="preserve">Analyse statistique dans le navigateur, sans écrire de code</w:t>
      </w:r>
    </w:p>
    <w:p>
      <w:pPr>
        <w:jc w:val="center"/>
      </w:pPr>
      <w:r>
        <w:rPr>
          <w:color w:val="888888"/>
          <w:sz w:val="22"/>
          <w:szCs w:val="22"/>
        </w:rPr>
        <w:t xml:space="preserve">Version 1.3.1  ·  18 septembre 2026</w:t>
      </w:r>
    </w:p>
    <w:p>
      <w:r>
        <w:br w:type="page"/>
      </w:r>
    </w:p>
    <w:p>
      <w:pPr>
        <w:spacing w:after="120" w:line="276"/>
      </w:pPr>
      <w:r>
        <w:t xml:space="preserve">HStat est une application Shiny qui mène une analyse statistique complète — de l'import du fichier aux analyses multivariées — </w:t>
      </w:r>
      <w:r>
        <w:rPr>
          <w:b/>
          <w:bCs/>
        </w:rPr>
        <w:t xml:space="preserve">sans écrire une ligne de code</w:t>
      </w:r>
      <w:r>
        <w:t xml:space="preserve">. Ce guide suit l'ordre dans lequel on travaille : charger, préparer, décrire, tester, exporter.</w:t>
      </w:r>
    </w:p>
    <w:p>
      <w:pPr>
        <w:pStyle w:val="Heading1"/>
        <w:spacing w:after="180" w:before="360"/>
      </w:pPr>
      <w:r>
        <w:t xml:space="preserve">1. Ce que fait HStat, et comment il est organisé</w:t>
      </w:r>
    </w:p>
    <w:p>
      <w:pPr>
        <w:spacing w:after="120" w:line="276"/>
      </w:pPr>
      <w:r>
        <w:t xml:space="preserve">HStat prend un fichier de données et le mène jusqu'à des résultats publiables : nettoyage, statistiques descriptives, tests, analyses multivariées, apprentissage automatique, codage qualitatif. Tout passe par l'interface. L'application est </w:t>
      </w:r>
      <w:r>
        <w:rPr>
          <w:b/>
          <w:bCs/>
        </w:rPr>
        <w:t xml:space="preserve">bilingue français / anglais</w:t>
      </w:r>
      <w:r>
        <w:t xml:space="preserve"> et fonctionne </w:t>
      </w:r>
      <w:r>
        <w:rPr>
          <w:b/>
          <w:bCs/>
        </w:rPr>
        <w:t xml:space="preserve">hors ligne</w:t>
      </w:r>
      <w:r>
        <w:t xml:space="preserve"> — aucune requête n'est faite à un service tiers, y compris pour la traduction.</w:t>
      </w:r>
    </w:p>
    <w:p>
      <w:pPr>
        <w:spacing w:after="120" w:line="276"/>
      </w:pPr>
      <w:r>
        <w:t xml:space="preserve">Le menu latéral porte </w:t>
      </w:r>
      <w:r>
        <w:rPr>
          <w:b/>
          <w:bCs/>
        </w:rPr>
        <w:t xml:space="preserve">22 onglets en 6 sections</w:t>
      </w:r>
      <w:r>
        <w:t xml:space="preserve">, rangés dans l'ordre où l'on travaille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6F4A" w:val="clear"/>
            <w:tcMar>
              <w:top w:type="dxa" w:w="70"/>
              <w:left w:type="dxa" w:w="110"/>
              <w:bottom w:type="dxa" w:w="70"/>
              <w:right w:type="dxa" w:w="110"/>
            </w:tcMar>
          </w:tcPr>
          <w:p>
            <w:pPr>
              <w:spacing w:after="0" w:line="252"/>
            </w:pPr>
            <w:r>
              <w:rPr>
                <w:b/>
                <w:bCs/>
                <w:color w:val="FFFFFF"/>
              </w:rPr>
              <w:t xml:space="preserve">Section</w:t>
            </w:r>
          </w:p>
        </w:tc>
        <w:tc>
          <w:tcPr>
            <w:tcW w:type="dxa" w:w="6552"/>
            <w:shd w:fill="1F6F4A" w:val="clear"/>
            <w:tcMar>
              <w:top w:type="dxa" w:w="70"/>
              <w:left w:type="dxa" w:w="110"/>
              <w:bottom w:type="dxa" w:w="70"/>
              <w:right w:type="dxa" w:w="110"/>
            </w:tcMar>
          </w:tcPr>
          <w:p>
            <w:pPr>
              <w:spacing w:after="0" w:line="252"/>
            </w:pPr>
            <w:r>
              <w:rPr>
                <w:b/>
                <w:bCs/>
                <w:color w:val="FFFFFF"/>
              </w:rPr>
              <w:t xml:space="preserve">Onglets</w:t>
            </w:r>
          </w:p>
        </w:tc>
      </w:tr>
      <w:tr>
        <w:tc>
          <w:tcPr>
            <w:tcW w:type="dxa" w:w="2808"/>
            <w:shd w:fill="FFFFFF" w:val="clear"/>
            <w:tcMar>
              <w:top w:type="dxa" w:w="70"/>
              <w:left w:type="dxa" w:w="110"/>
              <w:bottom w:type="dxa" w:w="70"/>
              <w:right w:type="dxa" w:w="110"/>
            </w:tcMar>
          </w:tcPr>
          <w:p>
            <w:pPr>
              <w:spacing w:after="0" w:line="252"/>
            </w:pPr>
            <w:r>
              <w:rPr>
                <w:b/>
                <w:bCs/>
              </w:rPr>
              <w:t xml:space="preserve">1. Préparation des données</w:t>
            </w:r>
          </w:p>
        </w:tc>
        <w:tc>
          <w:tcPr>
            <w:tcW w:type="dxa" w:w="6552"/>
            <w:shd w:fill="FFFFFF" w:val="clear"/>
            <w:tcMar>
              <w:top w:type="dxa" w:w="70"/>
              <w:left w:type="dxa" w:w="110"/>
              <w:bottom w:type="dxa" w:w="70"/>
              <w:right w:type="dxa" w:w="110"/>
            </w:tcMar>
          </w:tcPr>
          <w:p>
            <w:pPr>
              <w:spacing w:after="0" w:line="252"/>
            </w:pPr>
            <w:r>
              <w:t xml:space="preserve">Chargement · Exploration · Nettoyage · Filtrage</w:t>
            </w:r>
          </w:p>
        </w:tc>
      </w:tr>
      <w:tr>
        <w:tc>
          <w:tcPr>
            <w:tcW w:type="dxa" w:w="2808"/>
            <w:shd w:fill="FFFFFF" w:val="clear"/>
            <w:tcMar>
              <w:top w:type="dxa" w:w="70"/>
              <w:left w:type="dxa" w:w="110"/>
              <w:bottom w:type="dxa" w:w="70"/>
              <w:right w:type="dxa" w:w="110"/>
            </w:tcMar>
          </w:tcPr>
          <w:p>
            <w:pPr>
              <w:spacing w:after="0" w:line="252"/>
            </w:pPr>
            <w:r>
              <w:rPr>
                <w:b/>
                <w:bCs/>
              </w:rPr>
              <w:t xml:space="preserve">2. Description</w:t>
            </w:r>
          </w:p>
        </w:tc>
        <w:tc>
          <w:tcPr>
            <w:tcW w:type="dxa" w:w="6552"/>
            <w:shd w:fill="FFFFFF" w:val="clear"/>
            <w:tcMar>
              <w:top w:type="dxa" w:w="70"/>
              <w:left w:type="dxa" w:w="110"/>
              <w:bottom w:type="dxa" w:w="70"/>
              <w:right w:type="dxa" w:w="110"/>
            </w:tcMar>
          </w:tcPr>
          <w:p>
            <w:pPr>
              <w:spacing w:after="0" w:line="252"/>
            </w:pPr>
            <w:r>
              <w:t xml:space="preserve">Analyses descriptives · Visualisation des données</w:t>
            </w:r>
          </w:p>
        </w:tc>
      </w:tr>
      <w:tr>
        <w:tc>
          <w:tcPr>
            <w:tcW w:type="dxa" w:w="2808"/>
            <w:shd w:fill="FFFFFF" w:val="clear"/>
            <w:tcMar>
              <w:top w:type="dxa" w:w="70"/>
              <w:left w:type="dxa" w:w="110"/>
              <w:bottom w:type="dxa" w:w="70"/>
              <w:right w:type="dxa" w:w="110"/>
            </w:tcMar>
          </w:tcPr>
          <w:p>
            <w:pPr>
              <w:spacing w:after="0" w:line="252"/>
            </w:pPr>
            <w:r>
              <w:rPr>
                <w:b/>
                <w:bCs/>
              </w:rPr>
              <w:t xml:space="preserve">3. Relations &amp; inférence</w:t>
            </w:r>
          </w:p>
        </w:tc>
        <w:tc>
          <w:tcPr>
            <w:tcW w:type="dxa" w:w="6552"/>
            <w:shd w:fill="FFFFFF" w:val="clear"/>
            <w:tcMar>
              <w:top w:type="dxa" w:w="70"/>
              <w:left w:type="dxa" w:w="110"/>
              <w:bottom w:type="dxa" w:w="70"/>
              <w:right w:type="dxa" w:w="110"/>
            </w:tcMar>
          </w:tcPr>
          <w:p>
            <w:pPr>
              <w:spacing w:after="0" w:line="252"/>
            </w:pPr>
            <w:r>
              <w:t xml:space="preserve">Corrélations · Tests statistiques · Comparaisons post-hoc · Analyses multivariées · Analyses qualitatives · Rendement/Gain de rendement · Seuils d'efficacité · Diversité écologique · Épidémiologie · DL50/CL50</w:t>
            </w:r>
          </w:p>
        </w:tc>
      </w:tr>
      <w:tr>
        <w:tc>
          <w:tcPr>
            <w:tcW w:type="dxa" w:w="2808"/>
            <w:shd w:fill="FFFFFF" w:val="clear"/>
            <w:tcMar>
              <w:top w:type="dxa" w:w="70"/>
              <w:left w:type="dxa" w:w="110"/>
              <w:bottom w:type="dxa" w:w="70"/>
              <w:right w:type="dxa" w:w="110"/>
            </w:tcMar>
          </w:tcPr>
          <w:p>
            <w:pPr>
              <w:spacing w:after="0" w:line="252"/>
            </w:pPr>
            <w:r>
              <w:rPr>
                <w:b/>
                <w:bCs/>
              </w:rPr>
              <w:t xml:space="preserve">4. Modélisation &amp; prédiction</w:t>
            </w:r>
          </w:p>
        </w:tc>
        <w:tc>
          <w:tcPr>
            <w:tcW w:type="dxa" w:w="6552"/>
            <w:shd w:fill="FFFFFF" w:val="clear"/>
            <w:tcMar>
              <w:top w:type="dxa" w:w="70"/>
              <w:left w:type="dxa" w:w="110"/>
              <w:bottom w:type="dxa" w:w="70"/>
              <w:right w:type="dxa" w:w="110"/>
            </w:tcMar>
          </w:tcPr>
          <w:p>
            <w:pPr>
              <w:spacing w:after="0" w:line="252"/>
            </w:pPr>
            <w:r>
              <w:t xml:space="preserve">Séries temporelles · Machine Learning · Deep Learning</w:t>
            </w:r>
          </w:p>
        </w:tc>
      </w:tr>
      <w:tr>
        <w:tc>
          <w:tcPr>
            <w:tcW w:type="dxa" w:w="2808"/>
            <w:shd w:fill="FFFFFF" w:val="clear"/>
            <w:tcMar>
              <w:top w:type="dxa" w:w="70"/>
              <w:left w:type="dxa" w:w="110"/>
              <w:bottom w:type="dxa" w:w="70"/>
              <w:right w:type="dxa" w:w="110"/>
            </w:tcMar>
          </w:tcPr>
          <w:p>
            <w:pPr>
              <w:spacing w:after="0" w:line="252"/>
            </w:pPr>
            <w:r>
              <w:rPr>
                <w:b/>
                <w:bCs/>
              </w:rPr>
              <w:t xml:space="preserve">5. Planification &amp; outils</w:t>
            </w:r>
          </w:p>
        </w:tc>
        <w:tc>
          <w:tcPr>
            <w:tcW w:type="dxa" w:w="6552"/>
            <w:shd w:fill="FFFFFF" w:val="clear"/>
            <w:tcMar>
              <w:top w:type="dxa" w:w="70"/>
              <w:left w:type="dxa" w:w="110"/>
              <w:bottom w:type="dxa" w:w="70"/>
              <w:right w:type="dxa" w:w="110"/>
            </w:tcMar>
          </w:tcPr>
          <w:p>
            <w:pPr>
              <w:spacing w:after="0" w:line="252"/>
            </w:pPr>
            <w:r>
              <w:t xml:space="preserve">Plan &amp; Puissance · Doses &amp; dilutions</w:t>
            </w:r>
          </w:p>
        </w:tc>
      </w:tr>
      <w:tr>
        <w:tc>
          <w:tcPr>
            <w:tcW w:type="dxa" w:w="2808"/>
            <w:shd w:fill="FFFFFF" w:val="clear"/>
            <w:tcMar>
              <w:top w:type="dxa" w:w="70"/>
              <w:left w:type="dxa" w:w="110"/>
              <w:bottom w:type="dxa" w:w="70"/>
              <w:right w:type="dxa" w:w="110"/>
            </w:tcMar>
          </w:tcPr>
          <w:p>
            <w:pPr>
              <w:spacing w:after="0" w:line="252"/>
            </w:pPr>
            <w:r>
              <w:rPr>
                <w:b/>
                <w:bCs/>
              </w:rPr>
              <w:t xml:space="preserve">6. À propos</w:t>
            </w:r>
          </w:p>
        </w:tc>
        <w:tc>
          <w:tcPr>
            <w:tcW w:type="dxa" w:w="6552"/>
            <w:shd w:fill="FFFFFF" w:val="clear"/>
            <w:tcMar>
              <w:top w:type="dxa" w:w="70"/>
              <w:left w:type="dxa" w:w="110"/>
              <w:bottom w:type="dxa" w:w="70"/>
              <w:right w:type="dxa" w:w="110"/>
            </w:tcMar>
          </w:tcPr>
          <w:p>
            <w:pPr>
              <w:spacing w:after="0" w:line="252"/>
            </w:pPr>
            <w:r>
              <w:t xml:space="preserve">Citer HStat</w:t>
            </w:r>
          </w:p>
        </w:tc>
      </w:tr>
    </w:tbl>
    <w:p>
      <w:pPr>
        <w:spacing w:after="120"/>
      </w:pPr>
    </w:p>
    <w:p>
      <w:pPr>
        <w:spacing w:after="120" w:line="276"/>
      </w:pPr>
      <w:r>
        <w:t xml:space="preserve">La section 3 rassemble ce qui </w:t>
      </w:r>
      <w:r>
        <w:rPr>
          <w:b/>
          <w:bCs/>
        </w:rPr>
        <w:t xml:space="preserve">estime, teste et publie un intervalle</w:t>
      </w:r>
      <w:r>
        <w:t xml:space="preserve"> ; la section 5 ce qui se calcule </w:t>
      </w:r>
      <w:r>
        <w:rPr>
          <w:b/>
          <w:bCs/>
        </w:rPr>
        <w:t xml:space="preserve">avant</w:t>
      </w:r>
      <w:r>
        <w:t xml:space="preserve"> l'essai.</w:t>
      </w:r>
    </w:p>
    <w:p>
      <w:pPr>
        <w:pStyle w:val="Heading2"/>
        <w:spacing w:after="140" w:before="280"/>
      </w:pPr>
      <w:r>
        <w:t xml:space="preserve">Pour qui</w:t>
      </w:r>
    </w:p>
    <w:p>
      <w:pPr>
        <w:spacing w:after="120" w:line="276"/>
      </w:pPr>
      <w:r>
        <w:t xml:space="preserve">Le socle est généraliste — tests, régressions, multivarié, apprentissage — mais une bonne moitié des onglets de la section 3 vient de l'</w:t>
      </w:r>
      <w:r>
        <w:rPr>
          <w:b/>
          <w:bCs/>
        </w:rPr>
        <w:t xml:space="preserve">agronomie et de la protection des cultures</w:t>
      </w:r>
      <w:r>
        <w:t xml:space="preserve"> : rendement et gain, formule d'Abbott, régression probit dose-mortalité, doses et dilutions, plans en blocs. S'y ajoutent l'</w:t>
      </w:r>
      <w:r>
        <w:rPr>
          <w:b/>
          <w:bCs/>
        </w:rPr>
        <w:t xml:space="preserve">écologie</w:t>
      </w:r>
      <w:r>
        <w:t xml:space="preserve"> (diversité alpha et bêta) et l'</w:t>
      </w:r>
      <w:r>
        <w:rPr>
          <w:b/>
          <w:bCs/>
        </w:rPr>
        <w:t xml:space="preserve">épidémiologie</w:t>
      </w:r>
      <w:r>
        <w:t xml:space="preserve"> (DLNM, survie, tests diagnostiques).</w:t>
      </w:r>
    </w:p>
    <w:p>
      <w:pPr>
        <w:pStyle w:val="Heading2"/>
        <w:spacing w:after="140" w:before="280"/>
      </w:pPr>
      <w:r>
        <w:t xml:space="preserve">Ce que le README annonce et que l'application ne fait plus</w:t>
      </w:r>
    </w:p>
    <w:p>
      <w:pPr>
        <w:spacing w:after="120" w:line="276"/>
      </w:pPr>
      <w:r>
        <w:t xml:space="preserve">À vérifier avant de les chercher : le </w:t>
      </w:r>
      <w:r>
        <w:rPr>
          <w:rFonts w:ascii="Consolas" w:cs="Consolas" w:eastAsia="Consolas" w:hAnsi="Consolas"/>
          <w:sz w:val="19"/>
          <w:szCs w:val="19"/>
        </w:rPr>
        <w:t xml:space="preserve">README</w:t>
      </w:r>
      <w:r>
        <w:t xml:space="preserve"> du dépôt décrit encore un onglet </w:t>
      </w:r>
      <w:r>
        <w:rPr>
          <w:b/>
          <w:bCs/>
        </w:rPr>
        <w:t xml:space="preserve">Report</w:t>
      </w:r>
      <w:r>
        <w:t xml:space="preserve"> (interprétation par modèle de langue, journal de reproductibilité, rapport automatique HTML/Word/PDF) et une </w:t>
      </w:r>
      <w:r>
        <w:rPr>
          <w:b/>
          <w:bCs/>
        </w:rPr>
        <w:t xml:space="preserve">recommandation d'analyse</w:t>
      </w:r>
      <w:r>
        <w:t xml:space="preserve">. Ces fonctionnalités ont été retirées : </w:t>
      </w:r>
      <w:r>
        <w:rPr>
          <w:rFonts w:ascii="Consolas" w:cs="Consolas" w:eastAsia="Consolas" w:hAnsi="Consolas"/>
          <w:sz w:val="19"/>
          <w:szCs w:val="19"/>
        </w:rPr>
        <w:t xml:space="preserve">hstat_report_render</w:t>
      </w:r>
      <w:r>
        <w:t xml:space="preserve">, </w:t>
      </w:r>
      <w:r>
        <w:rPr>
          <w:rFonts w:ascii="Consolas" w:cs="Consolas" w:eastAsia="Consolas" w:hAnsi="Consolas"/>
          <w:sz w:val="19"/>
          <w:szCs w:val="19"/>
        </w:rPr>
        <w:t xml:space="preserve">hstat_rlog_script</w:t>
      </w:r>
      <w:r>
        <w:t xml:space="preserve">, </w:t>
      </w:r>
      <w:r>
        <w:rPr>
          <w:rFonts w:ascii="Consolas" w:cs="Consolas" w:eastAsia="Consolas" w:hAnsi="Consolas"/>
          <w:sz w:val="19"/>
          <w:szCs w:val="19"/>
        </w:rPr>
        <w:t xml:space="preserve">hstat_reco_analyses</w:t>
      </w:r>
      <w:r>
        <w:t xml:space="preserve"> et </w:t>
      </w:r>
      <w:r>
        <w:rPr>
          <w:rFonts w:ascii="Consolas" w:cs="Consolas" w:eastAsia="Consolas" w:hAnsi="Consolas"/>
          <w:sz w:val="19"/>
          <w:szCs w:val="19"/>
        </w:rPr>
        <w:t xml:space="preserve">hstat_data_profile</w:t>
      </w:r>
      <w:r>
        <w:t xml:space="preserve"> n'existent plus dans le code, et aucun onglet du menu n'y correspond.</w:t>
      </w:r>
    </w:p>
    <w:p>
      <w:pPr>
        <w:spacing w:after="120" w:line="276"/>
      </w:pPr>
      <w:r>
        <w:t xml:space="preserve">Ce qui subsiste du moteur d'inférence sert </w:t>
      </w:r>
      <w:r>
        <w:rPr>
          <w:b/>
          <w:bCs/>
        </w:rPr>
        <w:t xml:space="preserve">uniquement</w:t>
      </w:r>
      <w:r>
        <w:t xml:space="preserve"> à l'atelier de codage qualitatif, et il est </w:t>
      </w:r>
      <w:r>
        <w:rPr>
          <w:b/>
          <w:bCs/>
        </w:rPr>
        <w:t xml:space="preserve">désactivé par défaut</w:t>
      </w:r>
      <w:r>
        <w:t xml:space="preserve">. Concrètement, il n'y a </w:t>
      </w:r>
      <w:r>
        <w:rPr>
          <w:b/>
          <w:bCs/>
        </w:rPr>
        <w:t xml:space="preserve">plus</w:t>
      </w:r>
      <w:r>
        <w:t xml:space="preserve"> de script R reconstituant la session, </w:t>
      </w:r>
      <w:r>
        <w:rPr>
          <w:b/>
          <w:bCs/>
        </w:rPr>
        <w:t xml:space="preserve">plus</w:t>
      </w:r>
      <w:r>
        <w:t xml:space="preserve"> de rapport assemblé automatiquement, et </w:t>
      </w:r>
      <w:r>
        <w:rPr>
          <w:b/>
          <w:bCs/>
        </w:rPr>
        <w:t xml:space="preserve">plus</w:t>
      </w:r>
      <w:r>
        <w:t xml:space="preserve"> de suggestion d'analyse. Les analyses elles-mêmes sont inchangées : rien de tout cela n'entrait dans un calcul.</w:t>
      </w:r>
    </w:p>
    <w:p>
      <w:pPr>
        <w:pStyle w:val="Heading1"/>
        <w:spacing w:after="180" w:before="360"/>
      </w:pPr>
      <w:r>
        <w:t xml:space="preserve">2. Installer et lancer</w:t>
      </w:r>
    </w:p>
    <w:p>
      <w:pPr>
        <w:shd w:fill="F2F4F5" w:val="clear"/>
        <w:spacing w:after="0" w:before="60"/>
        <w:ind w:left="220" w:right="220"/>
      </w:pPr>
      <w:r>
        <w:rPr>
          <w:rFonts w:ascii="Consolas" w:cs="Consolas" w:eastAsia="Consolas" w:hAnsi="Consolas"/>
          <w:sz w:val="19"/>
          <w:szCs w:val="19"/>
        </w:rPr>
        <w:t xml:space="preserve"># install.packages("remotes")</w:t>
      </w:r>
    </w:p>
    <w:p>
      <w:pPr>
        <w:shd w:fill="F2F4F5" w:val="clear"/>
        <w:spacing w:after="0" w:before="0"/>
        <w:ind w:left="220" w:right="220"/>
      </w:pPr>
      <w:r>
        <w:rPr>
          <w:rFonts w:ascii="Consolas" w:cs="Consolas" w:eastAsia="Consolas" w:hAnsi="Consolas"/>
          <w:sz w:val="19"/>
          <w:szCs w:val="19"/>
        </w:rPr>
        <w:t xml:space="preserve">remotes::install_github("houphouet/hstat")</w:t>
      </w:r>
    </w:p>
    <w:p>
      <w:pPr>
        <w:shd w:fill="F2F4F5" w:val="clear"/>
        <w:spacing w:after="0" w:before="0"/>
        <w:ind w:left="220" w:right="220"/>
      </w:pPr>
      <w:r>
        <w:rPr>
          <w:rFonts w:ascii="Consolas" w:cs="Consolas" w:eastAsia="Consolas" w:hAnsi="Consolas"/>
          <w:sz w:val="19"/>
          <w:szCs w:val="19"/>
        </w:rPr>
        <w:t xml:space="preserve"> </w:t>
      </w:r>
    </w:p>
    <w:p>
      <w:pPr>
        <w:shd w:fill="F2F4F5" w:val="clear"/>
        <w:spacing w:after="0" w:before="0"/>
        <w:ind w:left="220" w:right="220"/>
      </w:pPr>
      <w:r>
        <w:rPr>
          <w:rFonts w:ascii="Consolas" w:cs="Consolas" w:eastAsia="Consolas" w:hAnsi="Consolas"/>
          <w:sz w:val="19"/>
          <w:szCs w:val="19"/>
        </w:rPr>
        <w:t xml:space="preserve">library(HStat)</w:t>
      </w:r>
    </w:p>
    <w:p>
      <w:pPr>
        <w:shd w:fill="F2F4F5" w:val="clear"/>
        <w:spacing w:after="160" w:before="0"/>
        <w:ind w:left="220" w:right="220"/>
      </w:pPr>
      <w:r>
        <w:rPr>
          <w:rFonts w:ascii="Consolas" w:cs="Consolas" w:eastAsia="Consolas" w:hAnsi="Consolas"/>
          <w:sz w:val="19"/>
          <w:szCs w:val="19"/>
        </w:rPr>
        <w:t xml:space="preserve">run_hstat()</w:t>
      </w:r>
    </w:p>
    <w:p>
      <w:pPr>
        <w:spacing w:after="120" w:line="276"/>
      </w:pPr>
      <w:r>
        <w:t xml:space="preserve">L'application s'ouvre dans le navigateur par défaut. Les paquets manquants sont installés au premier lancement — c'est le </w:t>
      </w:r>
      <w:r>
        <w:rPr>
          <w:b/>
          <w:bCs/>
        </w:rPr>
        <w:t xml:space="preserve">seul</w:t>
      </w:r>
      <w:r>
        <w:t xml:space="preserve"> moment où une connexion est nécessaire.</w:t>
      </w:r>
    </w:p>
    <w:p>
      <w:pPr>
        <w:spacing w:after="120" w:line="276"/>
      </w:pPr>
      <w:r>
        <w:rPr>
          <w:rFonts w:ascii="Consolas" w:cs="Consolas" w:eastAsia="Consolas" w:hAnsi="Consolas"/>
          <w:sz w:val="19"/>
          <w:szCs w:val="19"/>
        </w:rPr>
        <w:t xml:space="preserve">run_hstat()</w:t>
      </w:r>
      <w:r>
        <w:t xml:space="preserve"> accepte les arguments de </w:t>
      </w:r>
      <w:r>
        <w:rPr>
          <w:rFonts w:ascii="Consolas" w:cs="Consolas" w:eastAsia="Consolas" w:hAnsi="Consolas"/>
          <w:sz w:val="19"/>
          <w:szCs w:val="19"/>
        </w:rPr>
        <w:t xml:space="preserve">shiny::runApp()</w:t>
      </w:r>
      <w:r>
        <w:t xml:space="preserve"> (</w:t>
      </w:r>
      <w:r>
        <w:rPr>
          <w:rFonts w:ascii="Consolas" w:cs="Consolas" w:eastAsia="Consolas" w:hAnsi="Consolas"/>
          <w:sz w:val="19"/>
          <w:szCs w:val="19"/>
        </w:rPr>
        <w:t xml:space="preserve">port</w:t>
      </w:r>
      <w:r>
        <w:t xml:space="preserve">, </w:t>
      </w:r>
      <w:r>
        <w:rPr>
          <w:rFonts w:ascii="Consolas" w:cs="Consolas" w:eastAsia="Consolas" w:hAnsi="Consolas"/>
          <w:sz w:val="19"/>
          <w:szCs w:val="19"/>
        </w:rPr>
        <w:t xml:space="preserve">launch.browser</w:t>
      </w:r>
      <w:r>
        <w:t xml:space="preserve">) et un argument à lui :</w:t>
      </w:r>
    </w:p>
    <w:p>
      <w:pPr>
        <w:shd w:fill="F2F4F5" w:val="clear"/>
        <w:spacing w:after="0" w:before="60"/>
        <w:ind w:left="220" w:right="220"/>
      </w:pPr>
      <w:r>
        <w:rPr>
          <w:rFonts w:ascii="Consolas" w:cs="Consolas" w:eastAsia="Consolas" w:hAnsi="Consolas"/>
          <w:sz w:val="19"/>
          <w:szCs w:val="19"/>
        </w:rPr>
        <w:t xml:space="preserve">run_hstat(install_missing = FALSE)   # serveur géré : les paquets sont fournis</w:t>
      </w:r>
    </w:p>
    <w:p>
      <w:pPr>
        <w:shd w:fill="F2F4F5" w:val="clear"/>
        <w:spacing w:after="160" w:before="0"/>
        <w:ind w:left="220" w:right="220"/>
      </w:pPr>
      <w:r>
        <w:rPr>
          <w:rFonts w:ascii="Consolas" w:cs="Consolas" w:eastAsia="Consolas" w:hAnsi="Consolas"/>
          <w:sz w:val="19"/>
          <w:szCs w:val="19"/>
        </w:rPr>
        <w:t xml:space="preserve">run_hstat(port = 3838, launch.browser = FALSE)</w:t>
      </w:r>
    </w:p>
    <w:p>
      <w:pPr>
        <w:pStyle w:val="Heading2"/>
        <w:spacing w:after="140" w:before="280"/>
      </w:pPr>
      <w:r>
        <w:t xml:space="preserve">Trois façons de le faire tourner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57"/>
        <w:gridCol w:w="3463"/>
      </w:tblGrid>
      <w:tr>
        <w:trPr>
          <w:tblHeader/>
        </w:trPr>
        <w:tc>
          <w:tcPr>
            <w:tcW w:type="dxa" w:w="2340"/>
            <w:shd w:fill="1F6F4A" w:val="clear"/>
            <w:tcMar>
              <w:top w:type="dxa" w:w="70"/>
              <w:left w:type="dxa" w:w="110"/>
              <w:bottom w:type="dxa" w:w="70"/>
              <w:right w:type="dxa" w:w="110"/>
            </w:tcMar>
          </w:tcPr>
          <w:p>
            <w:pPr>
              <w:spacing w:after="0" w:line="252"/>
            </w:pPr>
            <w:r>
              <w:rPr>
                <w:b/>
                <w:bCs/>
                <w:color w:val="FFFFFF"/>
              </w:rPr>
              <w:t xml:space="preserve">Chemin</w:t>
            </w:r>
          </w:p>
        </w:tc>
        <w:tc>
          <w:tcPr>
            <w:tcW w:type="dxa" w:w="3557"/>
            <w:shd w:fill="1F6F4A" w:val="clear"/>
            <w:tcMar>
              <w:top w:type="dxa" w:w="70"/>
              <w:left w:type="dxa" w:w="110"/>
              <w:bottom w:type="dxa" w:w="70"/>
              <w:right w:type="dxa" w:w="110"/>
            </w:tcMar>
          </w:tcPr>
          <w:p>
            <w:pPr>
              <w:spacing w:after="0" w:line="252"/>
            </w:pPr>
            <w:r>
              <w:rPr>
                <w:b/>
                <w:bCs/>
                <w:color w:val="FFFFFF"/>
              </w:rPr>
              <w:t xml:space="preserve">Commande</w:t>
            </w:r>
          </w:p>
        </w:tc>
        <w:tc>
          <w:tcPr>
            <w:tcW w:type="dxa" w:w="3463"/>
            <w:shd w:fill="1F6F4A" w:val="clear"/>
            <w:tcMar>
              <w:top w:type="dxa" w:w="70"/>
              <w:left w:type="dxa" w:w="110"/>
              <w:bottom w:type="dxa" w:w="70"/>
              <w:right w:type="dxa" w:w="110"/>
            </w:tcMar>
          </w:tcPr>
          <w:p>
            <w:pPr>
              <w:spacing w:after="0" w:line="252"/>
            </w:pPr>
            <w:r>
              <w:rPr>
                <w:b/>
                <w:bCs/>
                <w:color w:val="FFFFFF"/>
              </w:rPr>
              <w:t xml:space="preserve">Quand</w:t>
            </w:r>
          </w:p>
        </w:tc>
      </w:tr>
      <w:tr>
        <w:tc>
          <w:tcPr>
            <w:tcW w:type="dxa" w:w="2340"/>
            <w:shd w:fill="FFFFFF" w:val="clear"/>
            <w:tcMar>
              <w:top w:type="dxa" w:w="70"/>
              <w:left w:type="dxa" w:w="110"/>
              <w:bottom w:type="dxa" w:w="70"/>
              <w:right w:type="dxa" w:w="110"/>
            </w:tcMar>
          </w:tcPr>
          <w:p>
            <w:pPr>
              <w:spacing w:after="0" w:line="252"/>
            </w:pPr>
            <w:r>
              <w:rPr>
                <w:b/>
                <w:bCs/>
              </w:rPr>
              <w:t xml:space="preserve">Paquet installé</w:t>
            </w:r>
          </w:p>
        </w:tc>
        <w:tc>
          <w:tcPr>
            <w:tcW w:type="dxa" w:w="3557"/>
            <w:shd w:fill="FFFFFF" w:val="clear"/>
            <w:tcMar>
              <w:top w:type="dxa" w:w="70"/>
              <w:left w:type="dxa" w:w="110"/>
              <w:bottom w:type="dxa" w:w="70"/>
              <w:right w:type="dxa" w:w="110"/>
            </w:tcMar>
          </w:tcPr>
          <w:p>
            <w:pPr>
              <w:spacing w:after="0" w:line="252"/>
            </w:pPr>
            <w:r>
              <w:rPr>
                <w:rFonts w:ascii="Consolas" w:cs="Consolas" w:eastAsia="Consolas" w:hAnsi="Consolas"/>
                <w:sz w:val="19"/>
                <w:szCs w:val="19"/>
              </w:rPr>
              <w:t xml:space="preserve">HStat::run_hstat()</w:t>
            </w:r>
          </w:p>
        </w:tc>
        <w:tc>
          <w:tcPr>
            <w:tcW w:type="dxa" w:w="3463"/>
            <w:shd w:fill="FFFFFF" w:val="clear"/>
            <w:tcMar>
              <w:top w:type="dxa" w:w="70"/>
              <w:left w:type="dxa" w:w="110"/>
              <w:bottom w:type="dxa" w:w="70"/>
              <w:right w:type="dxa" w:w="110"/>
            </w:tcMar>
          </w:tcPr>
          <w:p>
            <w:pPr>
              <w:spacing w:after="0" w:line="252"/>
            </w:pPr>
            <w:r>
              <w:t xml:space="preserve">l'usage normal</w:t>
            </w:r>
          </w:p>
        </w:tc>
      </w:tr>
      <w:tr>
        <w:tc>
          <w:tcPr>
            <w:tcW w:type="dxa" w:w="2340"/>
            <w:shd w:fill="FFFFFF" w:val="clear"/>
            <w:tcMar>
              <w:top w:type="dxa" w:w="70"/>
              <w:left w:type="dxa" w:w="110"/>
              <w:bottom w:type="dxa" w:w="70"/>
              <w:right w:type="dxa" w:w="110"/>
            </w:tcMar>
          </w:tcPr>
          <w:p>
            <w:pPr>
              <w:spacing w:after="0" w:line="252"/>
            </w:pPr>
            <w:r>
              <w:rPr>
                <w:b/>
                <w:bCs/>
              </w:rPr>
              <w:t xml:space="preserve">Depuis les sources</w:t>
            </w:r>
          </w:p>
        </w:tc>
        <w:tc>
          <w:tcPr>
            <w:tcW w:type="dxa" w:w="3557"/>
            <w:shd w:fill="FFFFFF" w:val="clear"/>
            <w:tcMar>
              <w:top w:type="dxa" w:w="70"/>
              <w:left w:type="dxa" w:w="110"/>
              <w:bottom w:type="dxa" w:w="70"/>
              <w:right w:type="dxa" w:w="110"/>
            </w:tcMar>
          </w:tcPr>
          <w:p>
            <w:pPr>
              <w:spacing w:after="0" w:line="252"/>
            </w:pPr>
            <w:r>
              <w:rPr>
                <w:rFonts w:ascii="Consolas" w:cs="Consolas" w:eastAsia="Consolas" w:hAnsi="Consolas"/>
                <w:sz w:val="19"/>
                <w:szCs w:val="19"/>
              </w:rPr>
              <w:t xml:space="preserve">shiny::runApp("inst/app")</w:t>
            </w:r>
          </w:p>
        </w:tc>
        <w:tc>
          <w:tcPr>
            <w:tcW w:type="dxa" w:w="3463"/>
            <w:shd w:fill="FFFFFF" w:val="clear"/>
            <w:tcMar>
              <w:top w:type="dxa" w:w="70"/>
              <w:left w:type="dxa" w:w="110"/>
              <w:bottom w:type="dxa" w:w="70"/>
              <w:right w:type="dxa" w:w="110"/>
            </w:tcMar>
          </w:tcPr>
          <w:p>
            <w:pPr>
              <w:spacing w:after="0" w:line="252"/>
            </w:pPr>
            <w:r>
              <w:t xml:space="preserve">pour développer ou modifier</w:t>
            </w:r>
          </w:p>
        </w:tc>
      </w:tr>
      <w:tr>
        <w:tc>
          <w:tcPr>
            <w:tcW w:type="dxa" w:w="2340"/>
            <w:shd w:fill="FFFFFF" w:val="clear"/>
            <w:tcMar>
              <w:top w:type="dxa" w:w="70"/>
              <w:left w:type="dxa" w:w="110"/>
              <w:bottom w:type="dxa" w:w="70"/>
              <w:right w:type="dxa" w:w="110"/>
            </w:tcMar>
          </w:tcPr>
          <w:p>
            <w:pPr>
              <w:spacing w:after="0" w:line="252"/>
            </w:pPr>
            <w:r>
              <w:rPr>
                <w:b/>
                <w:bCs/>
              </w:rPr>
              <w:t xml:space="preserve">Déploiement</w:t>
            </w:r>
          </w:p>
        </w:tc>
        <w:tc>
          <w:tcPr>
            <w:tcW w:type="dxa" w:w="3557"/>
            <w:shd w:fill="FFFFFF" w:val="clear"/>
            <w:tcMar>
              <w:top w:type="dxa" w:w="70"/>
              <w:left w:type="dxa" w:w="110"/>
              <w:bottom w:type="dxa" w:w="70"/>
              <w:right w:type="dxa" w:w="110"/>
            </w:tcMar>
          </w:tcPr>
          <w:p>
            <w:pPr>
              <w:spacing w:after="0" w:line="252"/>
            </w:pPr>
            <w:r>
              <w:t xml:space="preserve">le fichier </w:t>
            </w:r>
            <w:r>
              <w:rPr>
                <w:rFonts w:ascii="Consolas" w:cs="Consolas" w:eastAsia="Consolas" w:hAnsi="Consolas"/>
                <w:sz w:val="19"/>
                <w:szCs w:val="19"/>
              </w:rPr>
              <w:t xml:space="preserve">app.R</w:t>
            </w:r>
            <w:r>
              <w:t xml:space="preserve"> à la racine</w:t>
            </w:r>
          </w:p>
        </w:tc>
        <w:tc>
          <w:tcPr>
            <w:tcW w:type="dxa" w:w="3463"/>
            <w:shd w:fill="FFFFFF" w:val="clear"/>
            <w:tcMar>
              <w:top w:type="dxa" w:w="70"/>
              <w:left w:type="dxa" w:w="110"/>
              <w:bottom w:type="dxa" w:w="70"/>
              <w:right w:type="dxa" w:w="110"/>
            </w:tcMar>
          </w:tcPr>
          <w:p>
            <w:pPr>
              <w:spacing w:after="0" w:line="252"/>
            </w:pPr>
            <w:r>
              <w:t xml:space="preserve">shinyapps.io, Posit Connect, Shiny Server</w:t>
            </w:r>
          </w:p>
        </w:tc>
      </w:tr>
    </w:tbl>
    <w:p>
      <w:pPr>
        <w:spacing w:after="120"/>
      </w:pPr>
    </w:p>
    <w:p>
      <w:pPr>
        <w:spacing w:after="120" w:line="276"/>
      </w:pPr>
      <w:r>
        <w:t xml:space="preserve">Depuis les sources, l'application charge </w:t>
      </w:r>
      <w:r>
        <w:rPr>
          <w:rFonts w:ascii="Consolas" w:cs="Consolas" w:eastAsia="Consolas" w:hAnsi="Consolas"/>
          <w:sz w:val="19"/>
          <w:szCs w:val="19"/>
        </w:rPr>
        <w:t xml:space="preserve">R/utils.R</w:t>
      </w:r>
      <w:r>
        <w:t xml:space="preserve"> </w:t>
      </w:r>
      <w:r>
        <w:rPr>
          <w:b/>
          <w:bCs/>
        </w:rPr>
        <w:t xml:space="preserve">en priorité sur le paquet installé</w:t>
      </w:r>
      <w:r>
        <w:t xml:space="preserve"> : on édite un fichier, on relance, on voit le changement — même si HStat est aussi installé sur le poste.</w:t>
      </w:r>
    </w:p>
    <w:p>
      <w:pPr>
        <w:pStyle w:val="Heading2"/>
        <w:spacing w:after="140" w:before="280"/>
      </w:pPr>
      <w:r>
        <w:t xml:space="preserve">Deux réglages de déploiement partagé</w:t>
      </w:r>
    </w:p>
    <w:p>
      <w:pPr>
        <w:spacing w:after="120" w:line="276"/>
      </w:pPr>
      <w:r>
        <w:t xml:space="preserve">Ces deux variables d'environnement ne servent à rien sur un poste personnel, et comptent dès que plusieurs personnes partagent le serveur :</w:t>
      </w:r>
    </w:p>
    <w:p>
      <w:pPr>
        <w:pStyle w:val="ListParagraph"/>
        <w:numPr>
          <w:ilvl w:val="0"/>
          <w:numId w:val="1"/>
        </w:numPr>
        <w:spacing w:after="90" w:line="276"/>
      </w:pPr>
      <w:r>
        <w:rPr>
          <w:b/>
          <w:bCs/>
        </w:rPr>
        <w:t xml:space="preserve">`HSTAT_MAX_UPLOAD_MB`</w:t>
      </w:r>
      <w:r>
        <w:t xml:space="preserve"> — taille maximale d'un téléversement. Le défaut est </w:t>
      </w:r>
      <w:r>
        <w:rPr>
          <w:b/>
          <w:bCs/>
        </w:rPr>
        <w:t xml:space="preserve">100 Go</w:t>
      </w:r>
      <w:r>
        <w:t xml:space="preserve">, pensé pour un poste où la seule contrainte est le disque. À abaisser en multi-utilisateurs.</w:t>
      </w:r>
    </w:p>
    <w:p>
      <w:pPr>
        <w:pStyle w:val="ListParagraph"/>
        <w:numPr>
          <w:ilvl w:val="0"/>
          <w:numId w:val="1"/>
        </w:numPr>
        <w:spacing w:after="90" w:line="276"/>
      </w:pPr>
      <w:r>
        <w:rPr>
          <w:b/>
          <w:bCs/>
        </w:rPr>
        <w:t xml:space="preserve">`HSTAT_BIGDATA_THRESHOLD_MB`</w:t>
      </w:r>
      <w:r>
        <w:t xml:space="preserve"> — au-delà de cette taille (défaut </w:t>
      </w:r>
      <w:r>
        <w:rPr>
          <w:b/>
          <w:bCs/>
        </w:rPr>
        <w:t xml:space="preserve">500 Mo</w:t>
      </w:r>
      <w:r>
        <w:t xml:space="preserve">), un CSV ou un Parquet bascule en mode hors-mémoire.</w:t>
      </w:r>
    </w:p>
    <w:p>
      <w:pPr>
        <w:spacing w:after="120" w:line="276"/>
      </w:pPr>
      <w:r>
        <w:t xml:space="preserve">Un troisième point tient à l'environnement plutôt qu'à l'application : </w:t>
      </w:r>
      <w:r>
        <w:rPr>
          <w:b/>
          <w:bCs/>
        </w:rPr>
        <w:t xml:space="preserve">la locale doit être UTF-8</w:t>
      </w:r>
      <w:r>
        <w:t xml:space="preserve">. Un conteneur en locale </w:t>
      </w:r>
      <w:r>
        <w:rPr>
          <w:rFonts w:ascii="Consolas" w:cs="Consolas" w:eastAsia="Consolas" w:hAnsi="Consolas"/>
          <w:sz w:val="19"/>
          <w:szCs w:val="19"/>
        </w:rPr>
        <w:t xml:space="preserve">C</w:t>
      </w:r>
      <w:r>
        <w:t xml:space="preserve"> ne lit pas correctement une interface francophone.</w:t>
      </w:r>
    </w:p>
    <w:p>
      <w:pPr>
        <w:pStyle w:val="Heading1"/>
        <w:spacing w:after="180" w:before="360"/>
      </w:pPr>
      <w:r>
        <w:t xml:space="preserve">3. Charger ses données</w:t>
      </w:r>
    </w:p>
    <w:p>
      <w:pPr>
        <w:spacing w:after="120" w:line="276"/>
      </w:pPr>
      <w:r>
        <w:t xml:space="preserve">Onglet </w:t>
      </w:r>
      <w:r>
        <w:rPr>
          <w:b/>
          <w:bCs/>
        </w:rPr>
        <w:t xml:space="preserve">Chargement</w:t>
      </w:r>
      <w:r>
        <w:t xml:space="preserve">. Huit formats sont acceptés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6F4A" w:val="clear"/>
            <w:tcMar>
              <w:top w:type="dxa" w:w="70"/>
              <w:left w:type="dxa" w:w="110"/>
              <w:bottom w:type="dxa" w:w="70"/>
              <w:right w:type="dxa" w:w="110"/>
            </w:tcMar>
          </w:tcPr>
          <w:p>
            <w:pPr>
              <w:spacing w:after="0" w:line="252"/>
            </w:pPr>
            <w:r>
              <w:rPr>
                <w:b/>
                <w:bCs/>
                <w:color w:val="FFFFFF"/>
              </w:rPr>
              <w:t xml:space="preserve">Famille</w:t>
            </w:r>
          </w:p>
        </w:tc>
        <w:tc>
          <w:tcPr>
            <w:tcW w:type="dxa" w:w="6084"/>
            <w:shd w:fill="1F6F4A" w:val="clear"/>
            <w:tcMar>
              <w:top w:type="dxa" w:w="70"/>
              <w:left w:type="dxa" w:w="110"/>
              <w:bottom w:type="dxa" w:w="70"/>
              <w:right w:type="dxa" w:w="110"/>
            </w:tcMar>
          </w:tcPr>
          <w:p>
            <w:pPr>
              <w:spacing w:after="0" w:line="252"/>
            </w:pPr>
            <w:r>
              <w:rPr>
                <w:b/>
                <w:bCs/>
                <w:color w:val="FFFFFF"/>
              </w:rPr>
              <w:t xml:space="preserve">Extensions</w:t>
            </w:r>
          </w:p>
        </w:tc>
      </w:tr>
      <w:tr>
        <w:tc>
          <w:tcPr>
            <w:tcW w:type="dxa" w:w="3276"/>
            <w:shd w:fill="FFFFFF" w:val="clear"/>
            <w:tcMar>
              <w:top w:type="dxa" w:w="70"/>
              <w:left w:type="dxa" w:w="110"/>
              <w:bottom w:type="dxa" w:w="70"/>
              <w:right w:type="dxa" w:w="110"/>
            </w:tcMar>
          </w:tcPr>
          <w:p>
            <w:pPr>
              <w:spacing w:after="0" w:line="252"/>
            </w:pPr>
            <w:r>
              <w:t xml:space="preserve">Texte</w:t>
            </w:r>
          </w:p>
        </w:tc>
        <w:tc>
          <w:tcPr>
            <w:tcW w:type="dxa" w:w="6084"/>
            <w:shd w:fill="FFFFFF" w:val="clear"/>
            <w:tcMar>
              <w:top w:type="dxa" w:w="70"/>
              <w:left w:type="dxa" w:w="110"/>
              <w:bottom w:type="dxa" w:w="70"/>
              <w:right w:type="dxa" w:w="110"/>
            </w:tcMar>
          </w:tcPr>
          <w:p>
            <w:pPr>
              <w:spacing w:after="0" w:line="252"/>
            </w:pPr>
            <w:r>
              <w:rPr>
                <w:rFonts w:ascii="Consolas" w:cs="Consolas" w:eastAsia="Consolas" w:hAnsi="Consolas"/>
                <w:sz w:val="19"/>
                <w:szCs w:val="19"/>
              </w:rPr>
              <w:t xml:space="preserve">.csv</w:t>
            </w:r>
            <w:r>
              <w:t xml:space="preserve"> · </w:t>
            </w:r>
            <w:r>
              <w:rPr>
                <w:rFonts w:ascii="Consolas" w:cs="Consolas" w:eastAsia="Consolas" w:hAnsi="Consolas"/>
                <w:sz w:val="19"/>
                <w:szCs w:val="19"/>
              </w:rPr>
              <w:t xml:space="preserve">.txt</w:t>
            </w:r>
            <w:r>
              <w:t xml:space="preserve"> · </w:t>
            </w:r>
            <w:r>
              <w:rPr>
                <w:rFonts w:ascii="Consolas" w:cs="Consolas" w:eastAsia="Consolas" w:hAnsi="Consolas"/>
                <w:sz w:val="19"/>
                <w:szCs w:val="19"/>
              </w:rPr>
              <w:t xml:space="preserve">.tsv</w:t>
            </w:r>
          </w:p>
        </w:tc>
      </w:tr>
      <w:tr>
        <w:tc>
          <w:tcPr>
            <w:tcW w:type="dxa" w:w="3276"/>
            <w:shd w:fill="FFFFFF" w:val="clear"/>
            <w:tcMar>
              <w:top w:type="dxa" w:w="70"/>
              <w:left w:type="dxa" w:w="110"/>
              <w:bottom w:type="dxa" w:w="70"/>
              <w:right w:type="dxa" w:w="110"/>
            </w:tcMar>
          </w:tcPr>
          <w:p>
            <w:pPr>
              <w:spacing w:after="0" w:line="252"/>
            </w:pPr>
            <w:r>
              <w:t xml:space="preserve">Tableur</w:t>
            </w:r>
          </w:p>
        </w:tc>
        <w:tc>
          <w:tcPr>
            <w:tcW w:type="dxa" w:w="6084"/>
            <w:shd w:fill="FFFFFF" w:val="clear"/>
            <w:tcMar>
              <w:top w:type="dxa" w:w="70"/>
              <w:left w:type="dxa" w:w="110"/>
              <w:bottom w:type="dxa" w:w="70"/>
              <w:right w:type="dxa" w:w="110"/>
            </w:tcMar>
          </w:tcPr>
          <w:p>
            <w:pPr>
              <w:spacing w:after="0" w:line="252"/>
            </w:pPr>
            <w:r>
              <w:rPr>
                <w:rFonts w:ascii="Consolas" w:cs="Consolas" w:eastAsia="Consolas" w:hAnsi="Consolas"/>
                <w:sz w:val="19"/>
                <w:szCs w:val="19"/>
              </w:rPr>
              <w:t xml:space="preserve">.xlsx</w:t>
            </w:r>
            <w:r>
              <w:t xml:space="preserve"> · </w:t>
            </w:r>
            <w:r>
              <w:rPr>
                <w:rFonts w:ascii="Consolas" w:cs="Consolas" w:eastAsia="Consolas" w:hAnsi="Consolas"/>
                <w:sz w:val="19"/>
                <w:szCs w:val="19"/>
              </w:rPr>
              <w:t xml:space="preserve">.xls</w:t>
            </w:r>
          </w:p>
        </w:tc>
      </w:tr>
      <w:tr>
        <w:tc>
          <w:tcPr>
            <w:tcW w:type="dxa" w:w="3276"/>
            <w:shd w:fill="FFFFFF" w:val="clear"/>
            <w:tcMar>
              <w:top w:type="dxa" w:w="70"/>
              <w:left w:type="dxa" w:w="110"/>
              <w:bottom w:type="dxa" w:w="70"/>
              <w:right w:type="dxa" w:w="110"/>
            </w:tcMar>
          </w:tcPr>
          <w:p>
            <w:pPr>
              <w:spacing w:after="0" w:line="252"/>
            </w:pPr>
            <w:r>
              <w:t xml:space="preserve">Logiciels de statistique</w:t>
            </w:r>
          </w:p>
        </w:tc>
        <w:tc>
          <w:tcPr>
            <w:tcW w:type="dxa" w:w="6084"/>
            <w:shd w:fill="FFFFFF" w:val="clear"/>
            <w:tcMar>
              <w:top w:type="dxa" w:w="70"/>
              <w:left w:type="dxa" w:w="110"/>
              <w:bottom w:type="dxa" w:w="70"/>
              <w:right w:type="dxa" w:w="110"/>
            </w:tcMar>
          </w:tcPr>
          <w:p>
            <w:pPr>
              <w:spacing w:after="0" w:line="252"/>
            </w:pPr>
            <w:r>
              <w:rPr>
                <w:rFonts w:ascii="Consolas" w:cs="Consolas" w:eastAsia="Consolas" w:hAnsi="Consolas"/>
                <w:sz w:val="19"/>
                <w:szCs w:val="19"/>
              </w:rPr>
              <w:t xml:space="preserve">.sav</w:t>
            </w:r>
            <w:r>
              <w:t xml:space="preserve"> (SPSS) · </w:t>
            </w:r>
            <w:r>
              <w:rPr>
                <w:rFonts w:ascii="Consolas" w:cs="Consolas" w:eastAsia="Consolas" w:hAnsi="Consolas"/>
                <w:sz w:val="19"/>
                <w:szCs w:val="19"/>
              </w:rPr>
              <w:t xml:space="preserve">.dta</w:t>
            </w:r>
            <w:r>
              <w:t xml:space="preserve"> (Stata)</w:t>
            </w:r>
          </w:p>
        </w:tc>
      </w:tr>
      <w:tr>
        <w:tc>
          <w:tcPr>
            <w:tcW w:type="dxa" w:w="3276"/>
            <w:shd w:fill="FFFFFF" w:val="clear"/>
            <w:tcMar>
              <w:top w:type="dxa" w:w="70"/>
              <w:left w:type="dxa" w:w="110"/>
              <w:bottom w:type="dxa" w:w="70"/>
              <w:right w:type="dxa" w:w="110"/>
            </w:tcMar>
          </w:tcPr>
          <w:p>
            <w:pPr>
              <w:spacing w:after="0" w:line="252"/>
            </w:pPr>
            <w:r>
              <w:t xml:space="preserve">R et colonnaire</w:t>
            </w:r>
          </w:p>
        </w:tc>
        <w:tc>
          <w:tcPr>
            <w:tcW w:type="dxa" w:w="6084"/>
            <w:shd w:fill="FFFFFF" w:val="clear"/>
            <w:tcMar>
              <w:top w:type="dxa" w:w="70"/>
              <w:left w:type="dxa" w:w="110"/>
              <w:bottom w:type="dxa" w:w="70"/>
              <w:right w:type="dxa" w:w="110"/>
            </w:tcMar>
          </w:tcPr>
          <w:p>
            <w:pPr>
              <w:spacing w:after="0" w:line="252"/>
            </w:pPr>
            <w:r>
              <w:rPr>
                <w:rFonts w:ascii="Consolas" w:cs="Consolas" w:eastAsia="Consolas" w:hAnsi="Consolas"/>
                <w:sz w:val="19"/>
                <w:szCs w:val="19"/>
              </w:rPr>
              <w:t xml:space="preserve">.rds</w:t>
            </w:r>
            <w:r>
              <w:t xml:space="preserve"> · </w:t>
            </w:r>
            <w:r>
              <w:rPr>
                <w:rFonts w:ascii="Consolas" w:cs="Consolas" w:eastAsia="Consolas" w:hAnsi="Consolas"/>
                <w:sz w:val="19"/>
                <w:szCs w:val="19"/>
              </w:rPr>
              <w:t xml:space="preserve">.parquet</w:t>
            </w:r>
            <w:r>
              <w:t xml:space="preserve"> · </w:t>
            </w:r>
            <w:r>
              <w:rPr>
                <w:rFonts w:ascii="Consolas" w:cs="Consolas" w:eastAsia="Consolas" w:hAnsi="Consolas"/>
                <w:sz w:val="19"/>
                <w:szCs w:val="19"/>
              </w:rPr>
              <w:t xml:space="preserve">.duckdb</w:t>
            </w:r>
          </w:p>
        </w:tc>
      </w:tr>
    </w:tbl>
    <w:p>
      <w:pPr>
        <w:spacing w:after="120"/>
      </w:pPr>
    </w:p>
    <w:p>
      <w:pPr>
        <w:spacing w:after="120" w:line="276"/>
      </w:pPr>
      <w:r>
        <w:t xml:space="preserve">Pour un CSV, le </w:t>
      </w:r>
      <w:r>
        <w:rPr>
          <w:b/>
          <w:bCs/>
        </w:rPr>
        <w:t xml:space="preserve">séparateur se choisit</w:t>
      </w:r>
      <w:r>
        <w:t xml:space="preserve"> — il n'est pas deviné. C'est le réglage à vérifier en premier si l'aperçu ne montre qu'une seule colonne.</w:t>
      </w:r>
    </w:p>
    <w:p>
      <w:pPr>
        <w:pStyle w:val="Heading2"/>
        <w:spacing w:after="140" w:before="280"/>
      </w:pPr>
      <w:r>
        <w:t xml:space="preserve">Un classeur Excel : une feuille, ou plusieurs</w:t>
      </w:r>
    </w:p>
    <w:p>
      <w:pPr>
        <w:spacing w:after="120" w:line="276"/>
      </w:pPr>
      <w:r>
        <w:t xml:space="preserve">Quand le fichier porte plusieurs feuilles, un sélecteur apparaît. On peut en prendre une, ou les </w:t>
      </w:r>
      <w:r>
        <w:rPr>
          <w:b/>
          <w:bCs/>
        </w:rPr>
        <w:t xml:space="preserve">combiner</w:t>
      </w:r>
      <w:r>
        <w:t xml:space="preserve"> — une feuille par année, par site, par vague est le cas courant d'un classeur d'enquête.</w:t>
      </w:r>
    </w:p>
    <w:p>
      <w:pPr>
        <w:spacing w:after="120" w:line="276"/>
      </w:pPr>
      <w:r>
        <w:t xml:space="preserve">La combinaison passe par le même moteur que la fusion de fichiers, donc toutes les jointures y sont disponibles. L'application </w:t>
      </w:r>
      <w:r>
        <w:rPr>
          <w:b/>
          <w:bCs/>
        </w:rPr>
        <w:t xml:space="preserve">conseille</w:t>
      </w:r>
      <w:r>
        <w:t xml:space="preserve"> au passage : mêmes colonnes → empilement ; colonnes communes partielles → jointure par clé ; aucune colonne commune → ni l'un ni l'autre, et il faut vérifier les en-têtes. Une feuille vide ou illisible est </w:t>
      </w:r>
      <w:r>
        <w:rPr>
          <w:b/>
          <w:bCs/>
        </w:rPr>
        <w:t xml:space="preserve">écartée et nommée</w:t>
      </w:r>
      <w:r>
        <w:t xml:space="preserve">, pas fatale : sur douze feuilles, une seule mal formée ne bloque pas les onze autres.</w:t>
      </w:r>
    </w:p>
    <w:p>
      <w:pPr>
        <w:pStyle w:val="Heading2"/>
        <w:spacing w:after="140" w:before="280"/>
      </w:pPr>
      <w:r>
        <w:t xml:space="preserve">Fusionner plusieurs fichiers</w:t>
      </w:r>
    </w:p>
    <w:p>
      <w:pPr>
        <w:spacing w:after="120" w:line="276"/>
      </w:pPr>
      <w:r>
        <w:t xml:space="preserve">Le sélecteur accepte plusieurs fichiers à la fois. </w:t>
      </w:r>
      <w:r>
        <w:rPr>
          <w:b/>
          <w:bCs/>
        </w:rPr>
        <w:t xml:space="preserve">Seize</w:t>
      </w:r>
      <w:r>
        <w:t xml:space="preserve"> types de fusion sont offerts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6F4A" w:val="clear"/>
            <w:tcMar>
              <w:top w:type="dxa" w:w="70"/>
              <w:left w:type="dxa" w:w="110"/>
              <w:bottom w:type="dxa" w:w="70"/>
              <w:right w:type="dxa" w:w="110"/>
            </w:tcMar>
          </w:tcPr>
          <w:p>
            <w:pPr>
              <w:spacing w:after="0" w:line="252"/>
            </w:pPr>
            <w:r>
              <w:rPr>
                <w:b/>
                <w:bCs/>
                <w:color w:val="FFFFFF"/>
              </w:rPr>
              <w:t xml:space="preserve">Famille</w:t>
            </w:r>
          </w:p>
        </w:tc>
        <w:tc>
          <w:tcPr>
            <w:tcW w:type="dxa" w:w="6084"/>
            <w:shd w:fill="1F6F4A" w:val="clear"/>
            <w:tcMar>
              <w:top w:type="dxa" w:w="70"/>
              <w:left w:type="dxa" w:w="110"/>
              <w:bottom w:type="dxa" w:w="70"/>
              <w:right w:type="dxa" w:w="110"/>
            </w:tcMar>
          </w:tcPr>
          <w:p>
            <w:pPr>
              <w:spacing w:after="0" w:line="252"/>
            </w:pPr>
            <w:r>
              <w:rPr>
                <w:b/>
                <w:bCs/>
                <w:color w:val="FFFFFF"/>
              </w:rPr>
              <w:t xml:space="preserve">Entrées</w:t>
            </w:r>
          </w:p>
        </w:tc>
      </w:tr>
      <w:tr>
        <w:tc>
          <w:tcPr>
            <w:tcW w:type="dxa" w:w="3276"/>
            <w:shd w:fill="FFFFFF" w:val="clear"/>
            <w:tcMar>
              <w:top w:type="dxa" w:w="70"/>
              <w:left w:type="dxa" w:w="110"/>
              <w:bottom w:type="dxa" w:w="70"/>
              <w:right w:type="dxa" w:w="110"/>
            </w:tcMar>
          </w:tcPr>
          <w:p>
            <w:pPr>
              <w:spacing w:after="0" w:line="252"/>
            </w:pPr>
            <w:r>
              <w:t xml:space="preserve">Jointures par clé</w:t>
            </w:r>
          </w:p>
        </w:tc>
        <w:tc>
          <w:tcPr>
            <w:tcW w:type="dxa" w:w="6084"/>
            <w:shd w:fill="FFFFFF" w:val="clear"/>
            <w:tcMar>
              <w:top w:type="dxa" w:w="70"/>
              <w:left w:type="dxa" w:w="110"/>
              <w:bottom w:type="dxa" w:w="70"/>
              <w:right w:type="dxa" w:w="110"/>
            </w:tcMar>
          </w:tcPr>
          <w:p>
            <w:pPr>
              <w:spacing w:after="0" w:line="252"/>
            </w:pPr>
            <w:r>
              <w:t xml:space="preserve">interne · à gauche · à droite · complète · croisée</w:t>
            </w:r>
          </w:p>
        </w:tc>
      </w:tr>
      <w:tr>
        <w:tc>
          <w:tcPr>
            <w:tcW w:type="dxa" w:w="3276"/>
            <w:shd w:fill="FFFFFF" w:val="clear"/>
            <w:tcMar>
              <w:top w:type="dxa" w:w="70"/>
              <w:left w:type="dxa" w:w="110"/>
              <w:bottom w:type="dxa" w:w="70"/>
              <w:right w:type="dxa" w:w="110"/>
            </w:tcMar>
          </w:tcPr>
          <w:p>
            <w:pPr>
              <w:spacing w:after="0" w:line="252"/>
            </w:pPr>
            <w:r>
              <w:t xml:space="preserve">Sélection sans ajout de colonnes</w:t>
            </w:r>
          </w:p>
        </w:tc>
        <w:tc>
          <w:tcPr>
            <w:tcW w:type="dxa" w:w="6084"/>
            <w:shd w:fill="FFFFFF" w:val="clear"/>
            <w:tcMar>
              <w:top w:type="dxa" w:w="70"/>
              <w:left w:type="dxa" w:w="110"/>
              <w:bottom w:type="dxa" w:w="70"/>
              <w:right w:type="dxa" w:w="110"/>
            </w:tcMar>
          </w:tcPr>
          <w:p>
            <w:pPr>
              <w:spacing w:after="0" w:line="252"/>
            </w:pPr>
            <w:r>
              <w:t xml:space="preserve">semi-jointure · anti-jointure (1er sans correspondance) · anti-jointure (2e sans correspondance)</w:t>
            </w:r>
          </w:p>
        </w:tc>
      </w:tr>
      <w:tr>
        <w:tc>
          <w:tcPr>
            <w:tcW w:type="dxa" w:w="3276"/>
            <w:shd w:fill="FFFFFF" w:val="clear"/>
            <w:tcMar>
              <w:top w:type="dxa" w:w="70"/>
              <w:left w:type="dxa" w:w="110"/>
              <w:bottom w:type="dxa" w:w="70"/>
              <w:right w:type="dxa" w:w="110"/>
            </w:tcMar>
          </w:tcPr>
          <w:p>
            <w:pPr>
              <w:spacing w:after="0" w:line="252"/>
            </w:pPr>
            <w:r>
              <w:t xml:space="preserve">Empilement</w:t>
            </w:r>
          </w:p>
        </w:tc>
        <w:tc>
          <w:tcPr>
            <w:tcW w:type="dxa" w:w="6084"/>
            <w:shd w:fill="FFFFFF" w:val="clear"/>
            <w:tcMar>
              <w:top w:type="dxa" w:w="70"/>
              <w:left w:type="dxa" w:w="110"/>
              <w:bottom w:type="dxa" w:w="70"/>
              <w:right w:type="dxa" w:w="110"/>
            </w:tcMar>
          </w:tcPr>
          <w:p>
            <w:pPr>
              <w:spacing w:after="0" w:line="252"/>
            </w:pPr>
            <w:r>
              <w:t xml:space="preserve">empiler les lignes (UNION, NA-fill) · union distincte</w:t>
            </w:r>
          </w:p>
        </w:tc>
      </w:tr>
      <w:tr>
        <w:tc>
          <w:tcPr>
            <w:tcW w:type="dxa" w:w="3276"/>
            <w:shd w:fill="FFFFFF" w:val="clear"/>
            <w:tcMar>
              <w:top w:type="dxa" w:w="70"/>
              <w:left w:type="dxa" w:w="110"/>
              <w:bottom w:type="dxa" w:w="70"/>
              <w:right w:type="dxa" w:w="110"/>
            </w:tcMar>
          </w:tcPr>
          <w:p>
            <w:pPr>
              <w:spacing w:after="0" w:line="252"/>
            </w:pPr>
            <w:r>
              <w:t xml:space="preserve">Côte à côte</w:t>
            </w:r>
          </w:p>
        </w:tc>
        <w:tc>
          <w:tcPr>
            <w:tcW w:type="dxa" w:w="6084"/>
            <w:shd w:fill="FFFFFF" w:val="clear"/>
            <w:tcMar>
              <w:top w:type="dxa" w:w="70"/>
              <w:left w:type="dxa" w:w="110"/>
              <w:bottom w:type="dxa" w:w="70"/>
              <w:right w:type="dxa" w:w="110"/>
            </w:tcMar>
          </w:tcPr>
          <w:p>
            <w:pPr>
              <w:spacing w:after="0" w:line="252"/>
            </w:pPr>
            <w:r>
              <w:t xml:space="preserve">juxtaposer les colonnes</w:t>
            </w:r>
          </w:p>
        </w:tc>
      </w:tr>
      <w:tr>
        <w:tc>
          <w:tcPr>
            <w:tcW w:type="dxa" w:w="3276"/>
            <w:shd w:fill="FFFFFF" w:val="clear"/>
            <w:tcMar>
              <w:top w:type="dxa" w:w="70"/>
              <w:left w:type="dxa" w:w="110"/>
              <w:bottom w:type="dxa" w:w="70"/>
              <w:right w:type="dxa" w:w="110"/>
            </w:tcMar>
          </w:tcPr>
          <w:p>
            <w:pPr>
              <w:spacing w:after="0" w:line="252"/>
            </w:pPr>
            <w:r>
              <w:t xml:space="preserve">Ensembles</w:t>
            </w:r>
          </w:p>
        </w:tc>
        <w:tc>
          <w:tcPr>
            <w:tcW w:type="dxa" w:w="6084"/>
            <w:shd w:fill="FFFFFF" w:val="clear"/>
            <w:tcMar>
              <w:top w:type="dxa" w:w="70"/>
              <w:left w:type="dxa" w:w="110"/>
              <w:bottom w:type="dxa" w:w="70"/>
              <w:right w:type="dxa" w:w="110"/>
            </w:tcMar>
          </w:tcPr>
          <w:p>
            <w:pPr>
              <w:spacing w:after="0" w:line="252"/>
            </w:pPr>
            <w:r>
              <w:t xml:space="preserve">intersection · 1er sauf 2e · 2e sauf 1er</w:t>
            </w:r>
          </w:p>
        </w:tc>
      </w:tr>
      <w:tr>
        <w:tc>
          <w:tcPr>
            <w:tcW w:type="dxa" w:w="3276"/>
            <w:shd w:fill="FFFFFF" w:val="clear"/>
            <w:tcMar>
              <w:top w:type="dxa" w:w="70"/>
              <w:left w:type="dxa" w:w="110"/>
              <w:bottom w:type="dxa" w:w="70"/>
              <w:right w:type="dxa" w:w="110"/>
            </w:tcMar>
          </w:tcPr>
          <w:p>
            <w:pPr>
              <w:spacing w:after="0" w:line="252"/>
            </w:pPr>
            <w:r>
              <w:t xml:space="preserve">Mise à jour</w:t>
            </w:r>
          </w:p>
        </w:tc>
        <w:tc>
          <w:tcPr>
            <w:tcW w:type="dxa" w:w="6084"/>
            <w:shd w:fill="FFFFFF" w:val="clear"/>
            <w:tcMar>
              <w:top w:type="dxa" w:w="70"/>
              <w:left w:type="dxa" w:w="110"/>
              <w:bottom w:type="dxa" w:w="70"/>
              <w:right w:type="dxa" w:w="110"/>
            </w:tcMar>
          </w:tcPr>
          <w:p>
            <w:pPr>
              <w:spacing w:after="0" w:line="252"/>
            </w:pPr>
            <w:r>
              <w:t xml:space="preserve">remplacer par le 2e · compléter les </w:t>
            </w:r>
            <w:r>
              <w:rPr>
                <w:rFonts w:ascii="Consolas" w:cs="Consolas" w:eastAsia="Consolas" w:hAnsi="Consolas"/>
                <w:sz w:val="19"/>
                <w:szCs w:val="19"/>
              </w:rPr>
              <w:t xml:space="preserve">NA</w:t>
            </w:r>
            <w:r>
              <w:t xml:space="preserve"> du 1er</w:t>
            </w:r>
          </w:p>
        </w:tc>
      </w:tr>
    </w:tbl>
    <w:p>
      <w:pPr>
        <w:spacing w:after="120"/>
      </w:pPr>
    </w:p>
    <w:p>
      <w:pPr>
        <w:spacing w:after="120" w:line="276"/>
      </w:pPr>
      <w:r>
        <w:t xml:space="preserve">Une colonne d'origine peut être ajoutée pour savoir de quel fichier vient chaque ligne — soit son </w:t>
      </w:r>
      <w:r>
        <w:rPr>
          <w:b/>
          <w:bCs/>
        </w:rPr>
        <w:t xml:space="preserve">nom</w:t>
      </w:r>
      <w:r>
        <w:t xml:space="preserve">, soit un </w:t>
      </w:r>
      <w:r>
        <w:rPr>
          <w:b/>
          <w:bCs/>
        </w:rPr>
        <w:t xml:space="preserve">nombre extrait du nom</w:t>
      </w:r>
      <w:r>
        <w:t xml:space="preserve"> (une campagne, par exemple 2021).</w:t>
      </w:r>
    </w:p>
    <w:p>
      <w:pPr>
        <w:pStyle w:val="Heading2"/>
        <w:spacing w:after="140" w:before="280"/>
      </w:pPr>
      <w:r>
        <w:t xml:space="preserve">Les gros fichiers basculent tout seuls</w:t>
      </w:r>
    </w:p>
    <w:p>
      <w:pPr>
        <w:spacing w:after="120" w:line="276"/>
      </w:pPr>
      <w:r>
        <w:t xml:space="preserve">Au-delà de </w:t>
      </w:r>
      <w:r>
        <w:rPr>
          <w:b/>
          <w:bCs/>
        </w:rPr>
        <w:t xml:space="preserve">500 Mo</w:t>
      </w:r>
      <w:r>
        <w:t xml:space="preserve"> (réglable), un CSV ou un Parquet passe en </w:t>
      </w:r>
      <w:r>
        <w:rPr>
          <w:b/>
          <w:bCs/>
        </w:rPr>
        <w:t xml:space="preserve">mode hors-mémoire</w:t>
      </w:r>
      <w:r>
        <w:t xml:space="preserve"> : les données restent sur disque et les agrégations sont calculées par DuckDB. Un bandeau l'annonce, et certains panneaux proposent alors de « calculer sur le jeu complet ».</w:t>
      </w:r>
    </w:p>
    <w:p>
      <w:pPr>
        <w:pStyle w:val="Heading2"/>
        <w:spacing w:after="140" w:before="280"/>
      </w:pPr>
      <w:r>
        <w:t xml:space="preserve">Charger un fichier remet la session à zéro</w:t>
      </w:r>
    </w:p>
    <w:p>
      <w:pPr>
        <w:spacing w:after="120" w:line="276"/>
      </w:pPr>
      <w:r>
        <w:t xml:space="preserve">C'est un point à connaître avant de s'étonner : </w:t>
      </w:r>
      <w:r>
        <w:rPr>
          <w:b/>
          <w:bCs/>
        </w:rPr>
        <w:t xml:space="preserve">choisir un autre fichier efface l'état de l'analyse en cours</w:t>
      </w:r>
      <w:r>
        <w:t xml:space="preserve">, au même titre que le bouton Réinitialiser. C'est voulu — des résultats, des graphiques et des sélections de variables portant sur des colonnes qui n'existent plus ressemblent à des résultats, ce qui est pire qu'un écran vide.</w:t>
      </w:r>
    </w:p>
    <w:p>
      <w:pPr>
        <w:spacing w:after="120" w:line="276"/>
      </w:pPr>
      <w:r>
        <w:t xml:space="preserve">Quatre gestes déclenchent cette remise à zéro : le bouton, le chargement d'un fichier, la combinaison de feuilles et la fusion de fichiers.</w:t>
      </w:r>
    </w:p>
    <w:p>
      <w:pPr>
        <w:pStyle w:val="Heading1"/>
        <w:spacing w:after="180" w:before="360"/>
      </w:pPr>
      <w:r>
        <w:t xml:space="preserve">4. Préparer : explorer, nettoyer, filtrer</w:t>
      </w:r>
    </w:p>
    <w:p>
      <w:pPr>
        <w:pStyle w:val="Heading2"/>
        <w:spacing w:after="140" w:before="280"/>
      </w:pPr>
      <w:r>
        <w:t xml:space="preserve">Exploration — regarder avant de calculer</w:t>
      </w:r>
    </w:p>
    <w:p>
      <w:pPr>
        <w:spacing w:after="120" w:line="276"/>
      </w:pPr>
      <w:r>
        <w:t xml:space="preserve">Quatre panneaux : </w:t>
      </w:r>
      <w:r>
        <w:rPr>
          <w:b/>
          <w:bCs/>
        </w:rPr>
        <w:t xml:space="preserve">Structure des données</w:t>
      </w:r>
      <w:r>
        <w:t xml:space="preserve">, </w:t>
      </w:r>
      <w:r>
        <w:rPr>
          <w:b/>
          <w:bCs/>
        </w:rPr>
        <w:t xml:space="preserve">Résumé statistique</w:t>
      </w:r>
      <w:r>
        <w:t xml:space="preserve">, </w:t>
      </w:r>
      <w:r>
        <w:rPr>
          <w:b/>
          <w:bCs/>
        </w:rPr>
        <w:t xml:space="preserve">Distribution des variables</w:t>
      </w:r>
      <w:r>
        <w:t xml:space="preserve"> et </w:t>
      </w:r>
      <w:r>
        <w:rPr>
          <w:b/>
          <w:bCs/>
        </w:rPr>
        <w:t xml:space="preserve">Analyse des valeurs manquantes</w:t>
      </w:r>
      <w:r>
        <w:t xml:space="preserve">. C'est là qu'on voit les types reçus, les effectifs, et où sont les trous — avant de choisir une analyse qui les suppose absents.</w:t>
      </w:r>
    </w:p>
    <w:p>
      <w:pPr>
        <w:pStyle w:val="Heading2"/>
        <w:spacing w:after="140" w:before="280"/>
      </w:pPr>
      <w:r>
        <w:t xml:space="preserve">Nettoyage — sept étapes numérotées</w:t>
      </w:r>
    </w:p>
    <w:p>
      <w:pPr>
        <w:spacing w:after="120" w:line="276"/>
      </w:pPr>
      <w:r>
        <w:t xml:space="preserve">L'onglet est ordonné, et l'ordre a un sens : chaque étape suppose la précédente faite.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6F4A" w:val="clear"/>
            <w:tcMar>
              <w:top w:type="dxa" w:w="70"/>
              <w:left w:type="dxa" w:w="110"/>
              <w:bottom w:type="dxa" w:w="70"/>
              <w:right w:type="dxa" w:w="110"/>
            </w:tcMar>
          </w:tcPr>
          <w:p>
            <w:pPr>
              <w:spacing w:after="0" w:line="252"/>
            </w:pPr>
            <w:r>
              <w:rPr>
                <w:b/>
                <w:bCs/>
                <w:color w:val="FFFFFF"/>
              </w:rPr>
              <w:t xml:space="preserve">Étape</w:t>
            </w:r>
          </w:p>
        </w:tc>
        <w:tc>
          <w:tcPr>
            <w:tcW w:type="dxa" w:w="6552"/>
            <w:shd w:fill="1F6F4A" w:val="clear"/>
            <w:tcMar>
              <w:top w:type="dxa" w:w="70"/>
              <w:left w:type="dxa" w:w="110"/>
              <w:bottom w:type="dxa" w:w="70"/>
              <w:right w:type="dxa" w:w="110"/>
            </w:tcMar>
          </w:tcPr>
          <w:p>
            <w:pPr>
              <w:spacing w:after="0" w:line="252"/>
            </w:pPr>
            <w:r>
              <w:rPr>
                <w:b/>
                <w:bCs/>
                <w:color w:val="FFFFFF"/>
              </w:rPr>
              <w:t xml:space="preserve">Ce qu'elle fait</w:t>
            </w:r>
          </w:p>
        </w:tc>
      </w:tr>
      <w:tr>
        <w:tc>
          <w:tcPr>
            <w:tcW w:type="dxa" w:w="2808"/>
            <w:shd w:fill="FFFFFF" w:val="clear"/>
            <w:tcMar>
              <w:top w:type="dxa" w:w="70"/>
              <w:left w:type="dxa" w:w="110"/>
              <w:bottom w:type="dxa" w:w="70"/>
              <w:right w:type="dxa" w:w="110"/>
            </w:tcMar>
          </w:tcPr>
          <w:p>
            <w:pPr>
              <w:spacing w:after="0" w:line="252"/>
            </w:pPr>
            <w:r>
              <w:rPr>
                <w:b/>
                <w:bCs/>
              </w:rPr>
              <w:t xml:space="preserve">1. Définition des types</w:t>
            </w:r>
          </w:p>
        </w:tc>
        <w:tc>
          <w:tcPr>
            <w:tcW w:type="dxa" w:w="6552"/>
            <w:shd w:fill="FFFFFF" w:val="clear"/>
            <w:tcMar>
              <w:top w:type="dxa" w:w="70"/>
              <w:left w:type="dxa" w:w="110"/>
              <w:bottom w:type="dxa" w:w="70"/>
              <w:right w:type="dxa" w:w="110"/>
            </w:tcMar>
          </w:tcPr>
          <w:p>
            <w:pPr>
              <w:spacing w:after="0" w:line="252"/>
            </w:pPr>
            <w:r>
              <w:t xml:space="preserve">déclarer numérique, facteur, texte, </w:t>
            </w:r>
            <w:r>
              <w:rPr>
                <w:b/>
                <w:bCs/>
              </w:rPr>
              <w:t xml:space="preserve">date</w:t>
            </w:r>
          </w:p>
        </w:tc>
      </w:tr>
      <w:tr>
        <w:tc>
          <w:tcPr>
            <w:tcW w:type="dxa" w:w="2808"/>
            <w:shd w:fill="FFFFFF" w:val="clear"/>
            <w:tcMar>
              <w:top w:type="dxa" w:w="70"/>
              <w:left w:type="dxa" w:w="110"/>
              <w:bottom w:type="dxa" w:w="70"/>
              <w:right w:type="dxa" w:w="110"/>
            </w:tcMar>
          </w:tcPr>
          <w:p>
            <w:pPr>
              <w:spacing w:after="0" w:line="252"/>
            </w:pPr>
            <w:r>
              <w:rPr>
                <w:b/>
                <w:bCs/>
              </w:rPr>
              <w:t xml:space="preserve">2. Valeurs manquantes</w:t>
            </w:r>
          </w:p>
        </w:tc>
        <w:tc>
          <w:tcPr>
            <w:tcW w:type="dxa" w:w="6552"/>
            <w:shd w:fill="FFFFFF" w:val="clear"/>
            <w:tcMar>
              <w:top w:type="dxa" w:w="70"/>
              <w:left w:type="dxa" w:w="110"/>
              <w:bottom w:type="dxa" w:w="70"/>
              <w:right w:type="dxa" w:w="110"/>
            </w:tcMar>
          </w:tcPr>
          <w:p>
            <w:pPr>
              <w:spacing w:after="0" w:line="252"/>
            </w:pPr>
            <w:r>
              <w:t xml:space="preserve">avec une méthode recommandée qu'on peut adopter d'un clic</w:t>
            </w:r>
          </w:p>
        </w:tc>
      </w:tr>
      <w:tr>
        <w:tc>
          <w:tcPr>
            <w:tcW w:type="dxa" w:w="2808"/>
            <w:shd w:fill="FFFFFF" w:val="clear"/>
            <w:tcMar>
              <w:top w:type="dxa" w:w="70"/>
              <w:left w:type="dxa" w:w="110"/>
              <w:bottom w:type="dxa" w:w="70"/>
              <w:right w:type="dxa" w:w="110"/>
            </w:tcMar>
          </w:tcPr>
          <w:p>
            <w:pPr>
              <w:spacing w:after="0" w:line="252"/>
            </w:pPr>
            <w:r>
              <w:rPr>
                <w:b/>
                <w:bCs/>
              </w:rPr>
              <w:t xml:space="preserve">3. Variables et lignes</w:t>
            </w:r>
          </w:p>
        </w:tc>
        <w:tc>
          <w:tcPr>
            <w:tcW w:type="dxa" w:w="6552"/>
            <w:shd w:fill="FFFFFF" w:val="clear"/>
            <w:tcMar>
              <w:top w:type="dxa" w:w="70"/>
              <w:left w:type="dxa" w:w="110"/>
              <w:bottom w:type="dxa" w:w="70"/>
              <w:right w:type="dxa" w:w="110"/>
            </w:tcMar>
          </w:tcPr>
          <w:p>
            <w:pPr>
              <w:spacing w:after="0" w:line="252"/>
            </w:pPr>
            <w:r>
              <w:t xml:space="preserve">supprimer / renommer une variable, recoder des classes, supprimer des lignes, ajouter une variable — à la saisie ou en cliquant dans le tableau</w:t>
            </w:r>
          </w:p>
        </w:tc>
      </w:tr>
      <w:tr>
        <w:tc>
          <w:tcPr>
            <w:tcW w:type="dxa" w:w="2808"/>
            <w:shd w:fill="FFFFFF" w:val="clear"/>
            <w:tcMar>
              <w:top w:type="dxa" w:w="70"/>
              <w:left w:type="dxa" w:w="110"/>
              <w:bottom w:type="dxa" w:w="70"/>
              <w:right w:type="dxa" w:w="110"/>
            </w:tcMar>
          </w:tcPr>
          <w:p>
            <w:pPr>
              <w:spacing w:after="0" w:line="252"/>
            </w:pPr>
            <w:r>
              <w:rPr>
                <w:b/>
                <w:bCs/>
              </w:rPr>
              <w:t xml:space="preserve">4. Variable calculée</w:t>
            </w:r>
          </w:p>
        </w:tc>
        <w:tc>
          <w:tcPr>
            <w:tcW w:type="dxa" w:w="6552"/>
            <w:shd w:fill="FFFFFF" w:val="clear"/>
            <w:tcMar>
              <w:top w:type="dxa" w:w="70"/>
              <w:left w:type="dxa" w:w="110"/>
              <w:bottom w:type="dxa" w:w="70"/>
              <w:right w:type="dxa" w:w="110"/>
            </w:tcMar>
          </w:tcPr>
          <w:p>
            <w:pPr>
              <w:spacing w:after="0" w:line="252"/>
            </w:pPr>
            <w:r>
              <w:t xml:space="preserve">une formule, avec les noms de colonnes cliquables</w:t>
            </w:r>
          </w:p>
        </w:tc>
      </w:tr>
      <w:tr>
        <w:tc>
          <w:tcPr>
            <w:tcW w:type="dxa" w:w="2808"/>
            <w:shd w:fill="FFFFFF" w:val="clear"/>
            <w:tcMar>
              <w:top w:type="dxa" w:w="70"/>
              <w:left w:type="dxa" w:w="110"/>
              <w:bottom w:type="dxa" w:w="70"/>
              <w:right w:type="dxa" w:w="110"/>
            </w:tcMar>
          </w:tcPr>
          <w:p>
            <w:pPr>
              <w:spacing w:after="0" w:line="252"/>
            </w:pPr>
            <w:r>
              <w:rPr>
                <w:b/>
                <w:bCs/>
              </w:rPr>
              <w:t xml:space="preserve">5. Valeurs aberrantes</w:t>
            </w:r>
          </w:p>
        </w:tc>
        <w:tc>
          <w:tcPr>
            <w:tcW w:type="dxa" w:w="6552"/>
            <w:shd w:fill="FFFFFF" w:val="clear"/>
            <w:tcMar>
              <w:top w:type="dxa" w:w="70"/>
              <w:left w:type="dxa" w:w="110"/>
              <w:bottom w:type="dxa" w:w="70"/>
              <w:right w:type="dxa" w:w="110"/>
            </w:tcMar>
          </w:tcPr>
          <w:p>
            <w:pPr>
              <w:spacing w:after="0" w:line="252"/>
            </w:pPr>
            <w:r>
              <w:t xml:space="preserve">détection et winsorisation</w:t>
            </w:r>
          </w:p>
        </w:tc>
      </w:tr>
      <w:tr>
        <w:tc>
          <w:tcPr>
            <w:tcW w:type="dxa" w:w="2808"/>
            <w:shd w:fill="FFFFFF" w:val="clear"/>
            <w:tcMar>
              <w:top w:type="dxa" w:w="70"/>
              <w:left w:type="dxa" w:w="110"/>
              <w:bottom w:type="dxa" w:w="70"/>
              <w:right w:type="dxa" w:w="110"/>
            </w:tcMar>
          </w:tcPr>
          <w:p>
            <w:pPr>
              <w:spacing w:after="0" w:line="252"/>
            </w:pPr>
            <w:r>
              <w:rPr>
                <w:b/>
                <w:bCs/>
              </w:rPr>
              <w:t xml:space="preserve">6. Classes d'intervalles</w:t>
            </w:r>
          </w:p>
        </w:tc>
        <w:tc>
          <w:tcPr>
            <w:tcW w:type="dxa" w:w="6552"/>
            <w:shd w:fill="FFFFFF" w:val="clear"/>
            <w:tcMar>
              <w:top w:type="dxa" w:w="70"/>
              <w:left w:type="dxa" w:w="110"/>
              <w:bottom w:type="dxa" w:w="70"/>
              <w:right w:type="dxa" w:w="110"/>
            </w:tcMar>
          </w:tcPr>
          <w:p>
            <w:pPr>
              <w:spacing w:after="0" w:line="252"/>
            </w:pPr>
            <w:r>
              <w:t xml:space="preserve">discrétisation d'une variable continue</w:t>
            </w:r>
          </w:p>
        </w:tc>
      </w:tr>
      <w:tr>
        <w:tc>
          <w:tcPr>
            <w:tcW w:type="dxa" w:w="2808"/>
            <w:shd w:fill="FFFFFF" w:val="clear"/>
            <w:tcMar>
              <w:top w:type="dxa" w:w="70"/>
              <w:left w:type="dxa" w:w="110"/>
              <w:bottom w:type="dxa" w:w="70"/>
              <w:right w:type="dxa" w:w="110"/>
            </w:tcMar>
          </w:tcPr>
          <w:p>
            <w:pPr>
              <w:spacing w:after="0" w:line="252"/>
            </w:pPr>
            <w:r>
              <w:rPr>
                <w:b/>
                <w:bCs/>
              </w:rPr>
              <w:t xml:space="preserve">7. Variables à valeurs nulles</w:t>
            </w:r>
          </w:p>
        </w:tc>
        <w:tc>
          <w:tcPr>
            <w:tcW w:type="dxa" w:w="6552"/>
            <w:shd w:fill="FFFFFF" w:val="clear"/>
            <w:tcMar>
              <w:top w:type="dxa" w:w="70"/>
              <w:left w:type="dxa" w:w="110"/>
              <w:bottom w:type="dxa" w:w="70"/>
              <w:right w:type="dxa" w:w="110"/>
            </w:tcMar>
          </w:tcPr>
          <w:p>
            <w:pPr>
              <w:spacing w:after="0" w:line="252"/>
            </w:pPr>
            <w:r>
              <w:t xml:space="preserve">les colonnes entièrement nulles, qui n'ont ni corrélation ni test possibles</w:t>
            </w:r>
          </w:p>
        </w:tc>
      </w:tr>
    </w:tbl>
    <w:p>
      <w:pPr>
        <w:spacing w:after="120"/>
      </w:pPr>
    </w:p>
    <w:p>
      <w:pPr>
        <w:spacing w:after="120" w:line="276"/>
      </w:pPr>
      <w:r>
        <w:t xml:space="preserve">Un </w:t>
      </w:r>
      <w:r>
        <w:rPr>
          <w:b/>
          <w:bCs/>
        </w:rPr>
        <w:t xml:space="preserve">aperçu des données nettoyées</w:t>
      </w:r>
      <w:r>
        <w:t xml:space="preserve"> ferme l'onglet.</w:t>
      </w:r>
    </w:p>
    <w:p>
      <w:pPr>
        <w:spacing w:after="120" w:line="276"/>
      </w:pPr>
      <w:r>
        <w:rPr>
          <w:b/>
          <w:bCs/>
        </w:rPr>
        <w:t xml:space="preserve">La formule de l'étape 4 s'évalue dans un bac à sable.</w:t>
      </w:r>
      <w:r>
        <w:t xml:space="preserve"> Seules des fonctions mathématiques et de chaînes y sont autorisées : </w:t>
      </w:r>
      <w:r>
        <w:rPr>
          <w:rFonts w:ascii="Consolas" w:cs="Consolas" w:eastAsia="Consolas" w:hAnsi="Consolas"/>
          <w:sz w:val="19"/>
          <w:szCs w:val="19"/>
        </w:rPr>
        <w:t xml:space="preserve">system()</w:t>
      </w:r>
      <w:r>
        <w:t xml:space="preserve">, </w:t>
      </w:r>
      <w:r>
        <w:rPr>
          <w:rFonts w:ascii="Consolas" w:cs="Consolas" w:eastAsia="Consolas" w:hAnsi="Consolas"/>
          <w:sz w:val="19"/>
          <w:szCs w:val="19"/>
        </w:rPr>
        <w:t xml:space="preserve">get()</w:t>
      </w:r>
      <w:r>
        <w:t xml:space="preserve">, </w:t>
      </w:r>
      <w:r>
        <w:rPr>
          <w:rFonts w:ascii="Consolas" w:cs="Consolas" w:eastAsia="Consolas" w:hAnsi="Consolas"/>
          <w:sz w:val="19"/>
          <w:szCs w:val="19"/>
        </w:rPr>
        <w:t xml:space="preserve">eval()</w:t>
      </w:r>
      <w:r>
        <w:t xml:space="preserve"> et les fonctions d'ordre supérieur sont refusées, et la résolution de noms ne sort pas des colonnes du fichier. Une formule déraisonnablement longue est refusée avant d'être calculée — une expression qui se dédouble à chaque niveau peut coûter des gigaoctets, et Shiny sert toutes les sessions depuis un seul processus.</w:t>
      </w:r>
    </w:p>
    <w:p>
      <w:pPr>
        <w:spacing w:after="120" w:line="276"/>
      </w:pPr>
      <w:r>
        <w:t xml:space="preserve">Les noms de colonnes à caractères spéciaux (</w:t>
      </w:r>
      <w:r>
        <w:rPr>
          <w:rFonts w:ascii="Consolas" w:cs="Consolas" w:eastAsia="Consolas" w:hAnsi="Consolas"/>
          <w:sz w:val="19"/>
          <w:szCs w:val="19"/>
        </w:rPr>
        <w:t xml:space="preserve">Rdt-2023</w:t>
      </w:r>
      <w:r>
        <w:t xml:space="preserve">, </w:t>
      </w:r>
      <w:r>
        <w:rPr>
          <w:rFonts w:ascii="Consolas" w:cs="Consolas" w:eastAsia="Consolas" w:hAnsi="Consolas"/>
          <w:sz w:val="19"/>
          <w:szCs w:val="19"/>
        </w:rPr>
        <w:t xml:space="preserve">Masse &amp; surface</w:t>
      </w:r>
      <w:r>
        <w:t xml:space="preserve">) sont cités automatiquement dans la formule — y compris quand un nom est le </w:t>
      </w:r>
      <w:r>
        <w:rPr>
          <w:b/>
          <w:bCs/>
        </w:rPr>
        <w:t xml:space="preserve">préfixe</w:t>
      </w:r>
      <w:r>
        <w:t xml:space="preserve"> d'un autre, cas qui cassait l'analyse.</w:t>
      </w:r>
    </w:p>
    <w:p>
      <w:pPr>
        <w:pStyle w:val="Heading2"/>
        <w:spacing w:after="140" w:before="280"/>
      </w:pPr>
      <w:r>
        <w:t xml:space="preserve">Filtrage — cinq façons de réduire le jeu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1F6F4A" w:val="clear"/>
            <w:tcMar>
              <w:top w:type="dxa" w:w="70"/>
              <w:left w:type="dxa" w:w="110"/>
              <w:bottom w:type="dxa" w:w="70"/>
              <w:right w:type="dxa" w:w="110"/>
            </w:tcMar>
          </w:tcPr>
          <w:p>
            <w:pPr>
              <w:spacing w:after="0" w:line="252"/>
            </w:pPr>
            <w:r>
              <w:rPr>
                <w:b/>
                <w:bCs/>
                <w:color w:val="FFFFFF"/>
              </w:rPr>
              <w:t xml:space="preserve">Filtre</w:t>
            </w:r>
          </w:p>
        </w:tc>
        <w:tc>
          <w:tcPr>
            <w:tcW w:type="dxa" w:w="5803"/>
            <w:shd w:fill="1F6F4A" w:val="clear"/>
            <w:tcMar>
              <w:top w:type="dxa" w:w="70"/>
              <w:left w:type="dxa" w:w="110"/>
              <w:bottom w:type="dxa" w:w="70"/>
              <w:right w:type="dxa" w:w="110"/>
            </w:tcMar>
          </w:tcPr>
          <w:p>
            <w:pPr>
              <w:spacing w:after="0" w:line="252"/>
            </w:pPr>
            <w:r>
              <w:rPr>
                <w:b/>
                <w:bCs/>
                <w:color w:val="FFFFFF"/>
              </w:rPr>
              <w:t xml:space="preserve">Usage</w:t>
            </w:r>
          </w:p>
        </w:tc>
      </w:tr>
      <w:tr>
        <w:tc>
          <w:tcPr>
            <w:tcW w:type="dxa" w:w="3557"/>
            <w:shd w:fill="FFFFFF" w:val="clear"/>
            <w:tcMar>
              <w:top w:type="dxa" w:w="70"/>
              <w:left w:type="dxa" w:w="110"/>
              <w:bottom w:type="dxa" w:w="70"/>
              <w:right w:type="dxa" w:w="110"/>
            </w:tcMar>
          </w:tcPr>
          <w:p>
            <w:pPr>
              <w:spacing w:after="0" w:line="252"/>
            </w:pPr>
            <w:r>
              <w:rPr>
                <w:b/>
                <w:bCs/>
              </w:rPr>
              <w:t xml:space="preserve">Par sélection de lignes</w:t>
            </w:r>
          </w:p>
        </w:tc>
        <w:tc>
          <w:tcPr>
            <w:tcW w:type="dxa" w:w="5803"/>
            <w:shd w:fill="FFFFFF" w:val="clear"/>
            <w:tcMar>
              <w:top w:type="dxa" w:w="70"/>
              <w:left w:type="dxa" w:w="110"/>
              <w:bottom w:type="dxa" w:w="70"/>
              <w:right w:type="dxa" w:w="110"/>
            </w:tcMar>
          </w:tcPr>
          <w:p>
            <w:pPr>
              <w:spacing w:after="0" w:line="252"/>
            </w:pPr>
            <w:r>
              <w:t xml:space="preserve">plages et listes : </w:t>
            </w:r>
            <w:r>
              <w:rPr>
                <w:rFonts w:ascii="Consolas" w:cs="Consolas" w:eastAsia="Consolas" w:hAnsi="Consolas"/>
                <w:sz w:val="19"/>
                <w:szCs w:val="19"/>
              </w:rPr>
              <w:t xml:space="preserve">1 à 10</w:t>
            </w:r>
            <w:r>
              <w:t xml:space="preserve">, </w:t>
            </w:r>
            <w:r>
              <w:rPr>
                <w:rFonts w:ascii="Consolas" w:cs="Consolas" w:eastAsia="Consolas" w:hAnsi="Consolas"/>
                <w:sz w:val="19"/>
                <w:szCs w:val="19"/>
              </w:rPr>
              <w:t xml:space="preserve">5-15</w:t>
            </w:r>
            <w:r>
              <w:t xml:space="preserve">, </w:t>
            </w:r>
            <w:r>
              <w:rPr>
                <w:rFonts w:ascii="Consolas" w:cs="Consolas" w:eastAsia="Consolas" w:hAnsi="Consolas"/>
                <w:sz w:val="19"/>
                <w:szCs w:val="19"/>
              </w:rPr>
              <w:t xml:space="preserve">1,3,5,10 à 15,20</w:t>
            </w:r>
          </w:p>
        </w:tc>
      </w:tr>
      <w:tr>
        <w:tc>
          <w:tcPr>
            <w:tcW w:type="dxa" w:w="3557"/>
            <w:shd w:fill="FFFFFF" w:val="clear"/>
            <w:tcMar>
              <w:top w:type="dxa" w:w="70"/>
              <w:left w:type="dxa" w:w="110"/>
              <w:bottom w:type="dxa" w:w="70"/>
              <w:right w:type="dxa" w:w="110"/>
            </w:tcMar>
          </w:tcPr>
          <w:p>
            <w:pPr>
              <w:spacing w:after="0" w:line="252"/>
            </w:pPr>
            <w:r>
              <w:rPr>
                <w:b/>
                <w:bCs/>
              </w:rPr>
              <w:t xml:space="preserve">Par valeur(s)</w:t>
            </w:r>
          </w:p>
        </w:tc>
        <w:tc>
          <w:tcPr>
            <w:tcW w:type="dxa" w:w="5803"/>
            <w:shd w:fill="FFFFFF" w:val="clear"/>
            <w:tcMar>
              <w:top w:type="dxa" w:w="70"/>
              <w:left w:type="dxa" w:w="110"/>
              <w:bottom w:type="dxa" w:w="70"/>
              <w:right w:type="dxa" w:w="110"/>
            </w:tcMar>
          </w:tcPr>
          <w:p>
            <w:pPr>
              <w:spacing w:after="0" w:line="252"/>
            </w:pPr>
            <w:r>
              <w:t xml:space="preserve">garder ou exclure des modalités</w:t>
            </w:r>
          </w:p>
        </w:tc>
      </w:tr>
      <w:tr>
        <w:tc>
          <w:tcPr>
            <w:tcW w:type="dxa" w:w="3557"/>
            <w:shd w:fill="FFFFFF" w:val="clear"/>
            <w:tcMar>
              <w:top w:type="dxa" w:w="70"/>
              <w:left w:type="dxa" w:w="110"/>
              <w:bottom w:type="dxa" w:w="70"/>
              <w:right w:type="dxa" w:w="110"/>
            </w:tcMar>
          </w:tcPr>
          <w:p>
            <w:pPr>
              <w:spacing w:after="0" w:line="252"/>
            </w:pPr>
            <w:r>
              <w:rPr>
                <w:b/>
                <w:bCs/>
              </w:rPr>
              <w:t xml:space="preserve">Sélection des colonnes</w:t>
            </w:r>
          </w:p>
        </w:tc>
        <w:tc>
          <w:tcPr>
            <w:tcW w:type="dxa" w:w="5803"/>
            <w:shd w:fill="FFFFFF" w:val="clear"/>
            <w:tcMar>
              <w:top w:type="dxa" w:w="70"/>
              <w:left w:type="dxa" w:w="110"/>
              <w:bottom w:type="dxa" w:w="70"/>
              <w:right w:type="dxa" w:w="110"/>
            </w:tcMar>
          </w:tcPr>
          <w:p>
            <w:pPr>
              <w:spacing w:after="0" w:line="252"/>
            </w:pPr>
            <w:r>
              <w:t xml:space="preserve">choisir les colonnes conservées</w:t>
            </w:r>
          </w:p>
        </w:tc>
      </w:tr>
      <w:tr>
        <w:tc>
          <w:tcPr>
            <w:tcW w:type="dxa" w:w="3557"/>
            <w:shd w:fill="FFFFFF" w:val="clear"/>
            <w:tcMar>
              <w:top w:type="dxa" w:w="70"/>
              <w:left w:type="dxa" w:w="110"/>
              <w:bottom w:type="dxa" w:w="70"/>
              <w:right w:type="dxa" w:w="110"/>
            </w:tcMar>
          </w:tcPr>
          <w:p>
            <w:pPr>
              <w:spacing w:after="0" w:line="252"/>
            </w:pPr>
            <w:r>
              <w:rPr>
                <w:b/>
                <w:bCs/>
              </w:rPr>
              <w:t xml:space="preserve">Croisement complet (2 facteurs)</w:t>
            </w:r>
          </w:p>
        </w:tc>
        <w:tc>
          <w:tcPr>
            <w:tcW w:type="dxa" w:w="5803"/>
            <w:shd w:fill="FFFFFF" w:val="clear"/>
            <w:tcMar>
              <w:top w:type="dxa" w:w="70"/>
              <w:left w:type="dxa" w:w="110"/>
              <w:bottom w:type="dxa" w:w="70"/>
              <w:right w:type="dxa" w:w="110"/>
            </w:tcMar>
          </w:tcPr>
          <w:p>
            <w:pPr>
              <w:spacing w:after="0" w:line="252"/>
            </w:pPr>
            <w:r>
              <w:t xml:space="preserve">toutes les combinaisons de deux facteurs</w:t>
            </w:r>
          </w:p>
        </w:tc>
      </w:tr>
      <w:tr>
        <w:tc>
          <w:tcPr>
            <w:tcW w:type="dxa" w:w="3557"/>
            <w:shd w:fill="FFFFFF" w:val="clear"/>
            <w:tcMar>
              <w:top w:type="dxa" w:w="70"/>
              <w:left w:type="dxa" w:w="110"/>
              <w:bottom w:type="dxa" w:w="70"/>
              <w:right w:type="dxa" w:w="110"/>
            </w:tcMar>
          </w:tcPr>
          <w:p>
            <w:pPr>
              <w:spacing w:after="0" w:line="252"/>
            </w:pPr>
            <w:r>
              <w:rPr>
                <w:b/>
                <w:bCs/>
              </w:rPr>
              <w:t xml:space="preserve">Croisement complet (N facteurs)</w:t>
            </w:r>
          </w:p>
        </w:tc>
        <w:tc>
          <w:tcPr>
            <w:tcW w:type="dxa" w:w="5803"/>
            <w:shd w:fill="FFFFFF" w:val="clear"/>
            <w:tcMar>
              <w:top w:type="dxa" w:w="70"/>
              <w:left w:type="dxa" w:w="110"/>
              <w:bottom w:type="dxa" w:w="70"/>
              <w:right w:type="dxa" w:w="110"/>
            </w:tcMar>
          </w:tcPr>
          <w:p>
            <w:pPr>
              <w:spacing w:after="0" w:line="252"/>
            </w:pPr>
            <w:r>
              <w:t xml:space="preserve">au-delà de deux facteurs</w:t>
            </w:r>
          </w:p>
        </w:tc>
      </w:tr>
    </w:tbl>
    <w:p>
      <w:pPr>
        <w:spacing w:after="120"/>
      </w:pPr>
    </w:p>
    <w:p>
      <w:pPr>
        <w:spacing w:after="120" w:line="276"/>
      </w:pPr>
      <w:r>
        <w:t xml:space="preserve">En anglais, la syntaxe des plages devient </w:t>
      </w:r>
      <w:r>
        <w:rPr>
          <w:rFonts w:ascii="Consolas" w:cs="Consolas" w:eastAsia="Consolas" w:hAnsi="Consolas"/>
          <w:sz w:val="19"/>
          <w:szCs w:val="19"/>
        </w:rPr>
        <w:t xml:space="preserve">1 to 10</w:t>
      </w:r>
      <w:r>
        <w:t xml:space="preserve"> — et l'analyseur accepte les </w:t>
      </w:r>
      <w:r>
        <w:rPr>
          <w:b/>
          <w:bCs/>
        </w:rPr>
        <w:t xml:space="preserve">deux</w:t>
      </w:r>
      <w:r>
        <w:t xml:space="preserve"> écritures quelle que soit la langue affichée : une syntaxe montrée doit être une syntaxe acceptée.</w:t>
      </w:r>
    </w:p>
    <w:p>
      <w:pPr>
        <w:pStyle w:val="Heading2"/>
        <w:spacing w:after="140" w:before="280"/>
      </w:pPr>
      <w:r>
        <w:t xml:space="preserve">Trois jeux coexistent, et c'est voulu</w:t>
      </w:r>
    </w:p>
    <w:p>
      <w:pPr>
        <w:spacing w:after="120" w:line="276"/>
      </w:pPr>
      <w:r>
        <w:t xml:space="preserve">Les données </w:t>
      </w:r>
      <w:r>
        <w:rPr>
          <w:b/>
          <w:bCs/>
        </w:rPr>
        <w:t xml:space="preserve">chargées</w:t>
      </w:r>
      <w:r>
        <w:t xml:space="preserve">, </w:t>
      </w:r>
      <w:r>
        <w:rPr>
          <w:b/>
          <w:bCs/>
        </w:rPr>
        <w:t xml:space="preserve">nettoyées</w:t>
      </w:r>
      <w:r>
        <w:t xml:space="preserve"> et </w:t>
      </w:r>
      <w:r>
        <w:rPr>
          <w:b/>
          <w:bCs/>
        </w:rPr>
        <w:t xml:space="preserve">filtrées</w:t>
      </w:r>
      <w:r>
        <w:t xml:space="preserve"> sont trois états distincts. Les analyses travaillent sur le dernier disponible. Cela explique qu'un filtre posé ici change les effectifs d'un test lancé trois onglets plus loin.</w:t>
      </w:r>
    </w:p>
    <w:p>
      <w:pPr>
        <w:pStyle w:val="Heading1"/>
        <w:spacing w:after="180" w:before="360"/>
      </w:pPr>
      <w:r>
        <w:t xml:space="preserve">5. Décrire et visualiser</w:t>
      </w:r>
    </w:p>
    <w:p>
      <w:pPr>
        <w:pStyle w:val="Heading2"/>
        <w:spacing w:after="140" w:before="280"/>
      </w:pPr>
      <w:r>
        <w:t xml:space="preserve">Analyses descriptives</w:t>
      </w:r>
    </w:p>
    <w:p>
      <w:pPr>
        <w:spacing w:after="120" w:line="276"/>
      </w:pPr>
      <w:r>
        <w:t xml:space="preserve">Trois panneaux : </w:t>
      </w:r>
      <w:r>
        <w:rPr>
          <w:b/>
          <w:bCs/>
        </w:rPr>
        <w:t xml:space="preserve">sélection des variables</w:t>
      </w:r>
      <w:r>
        <w:t xml:space="preserve">, </w:t>
      </w:r>
      <w:r>
        <w:rPr>
          <w:b/>
          <w:bCs/>
        </w:rPr>
        <w:t xml:space="preserve">résultats</w:t>
      </w:r>
      <w:r>
        <w:t xml:space="preserve"> et </w:t>
      </w:r>
      <w:r>
        <w:rPr>
          <w:b/>
          <w:bCs/>
        </w:rPr>
        <w:t xml:space="preserve">visualisation</w:t>
      </w:r>
      <w:r>
        <w:t xml:space="preserve">. On choisit les variables, on obtient le tableau de statistiques et sa figure, tous deux exportables.</w:t>
      </w:r>
    </w:p>
    <w:p>
      <w:pPr>
        <w:pStyle w:val="Heading2"/>
        <w:spacing w:after="140" w:before="280"/>
      </w:pPr>
      <w:r>
        <w:t xml:space="preserve">Visualisation des données — quatorze types de graphiques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6F4A" w:val="clear"/>
            <w:tcMar>
              <w:top w:type="dxa" w:w="70"/>
              <w:left w:type="dxa" w:w="110"/>
              <w:bottom w:type="dxa" w:w="70"/>
              <w:right w:type="dxa" w:w="110"/>
            </w:tcMar>
          </w:tcPr>
          <w:p>
            <w:pPr>
              <w:spacing w:after="0" w:line="252"/>
            </w:pPr>
            <w:r>
              <w:rPr>
                <w:b/>
                <w:bCs/>
                <w:color w:val="FFFFFF"/>
              </w:rPr>
              <w:t xml:space="preserve">Famille</w:t>
            </w:r>
          </w:p>
        </w:tc>
        <w:tc>
          <w:tcPr>
            <w:tcW w:type="dxa" w:w="7020"/>
            <w:shd w:fill="1F6F4A" w:val="clear"/>
            <w:tcMar>
              <w:top w:type="dxa" w:w="70"/>
              <w:left w:type="dxa" w:w="110"/>
              <w:bottom w:type="dxa" w:w="70"/>
              <w:right w:type="dxa" w:w="110"/>
            </w:tcMar>
          </w:tcPr>
          <w:p>
            <w:pPr>
              <w:spacing w:after="0" w:line="252"/>
            </w:pPr>
            <w:r>
              <w:rPr>
                <w:b/>
                <w:bCs/>
                <w:color w:val="FFFFFF"/>
              </w:rPr>
              <w:t xml:space="preserve">Types</w:t>
            </w:r>
          </w:p>
        </w:tc>
      </w:tr>
      <w:tr>
        <w:tc>
          <w:tcPr>
            <w:tcW w:type="dxa" w:w="2340"/>
            <w:shd w:fill="FFFFFF" w:val="clear"/>
            <w:tcMar>
              <w:top w:type="dxa" w:w="70"/>
              <w:left w:type="dxa" w:w="110"/>
              <w:bottom w:type="dxa" w:w="70"/>
              <w:right w:type="dxa" w:w="110"/>
            </w:tcMar>
          </w:tcPr>
          <w:p>
            <w:pPr>
              <w:spacing w:after="0" w:line="252"/>
            </w:pPr>
            <w:r>
              <w:t xml:space="preserve">Relation</w:t>
            </w:r>
          </w:p>
        </w:tc>
        <w:tc>
          <w:tcPr>
            <w:tcW w:type="dxa" w:w="7020"/>
            <w:shd w:fill="FFFFFF" w:val="clear"/>
            <w:tcMar>
              <w:top w:type="dxa" w:w="70"/>
              <w:left w:type="dxa" w:w="110"/>
              <w:bottom w:type="dxa" w:w="70"/>
              <w:right w:type="dxa" w:w="110"/>
            </w:tcMar>
          </w:tcPr>
          <w:p>
            <w:pPr>
              <w:spacing w:after="0" w:line="252"/>
            </w:pPr>
            <w:r>
              <w:t xml:space="preserve">nuage de points · courbe avec lissage · courbe d'évolution · lignes</w:t>
            </w:r>
          </w:p>
        </w:tc>
      </w:tr>
      <w:tr>
        <w:tc>
          <w:tcPr>
            <w:tcW w:type="dxa" w:w="2340"/>
            <w:shd w:fill="FFFFFF" w:val="clear"/>
            <w:tcMar>
              <w:top w:type="dxa" w:w="70"/>
              <w:left w:type="dxa" w:w="110"/>
              <w:bottom w:type="dxa" w:w="70"/>
              <w:right w:type="dxa" w:w="110"/>
            </w:tcMar>
          </w:tcPr>
          <w:p>
            <w:pPr>
              <w:spacing w:after="0" w:line="252"/>
            </w:pPr>
            <w:r>
              <w:t xml:space="preserve">Distribution</w:t>
            </w:r>
          </w:p>
        </w:tc>
        <w:tc>
          <w:tcPr>
            <w:tcW w:type="dxa" w:w="7020"/>
            <w:shd w:fill="FFFFFF" w:val="clear"/>
            <w:tcMar>
              <w:top w:type="dxa" w:w="70"/>
              <w:left w:type="dxa" w:w="110"/>
              <w:bottom w:type="dxa" w:w="70"/>
              <w:right w:type="dxa" w:w="110"/>
            </w:tcMar>
          </w:tcPr>
          <w:p>
            <w:pPr>
              <w:spacing w:after="0" w:line="252"/>
            </w:pPr>
            <w:r>
              <w:t xml:space="preserve">boîte à moustaches · violon · densité · histogramme</w:t>
            </w:r>
          </w:p>
        </w:tc>
      </w:tr>
      <w:tr>
        <w:tc>
          <w:tcPr>
            <w:tcW w:type="dxa" w:w="2340"/>
            <w:shd w:fill="FFFFFF" w:val="clear"/>
            <w:tcMar>
              <w:top w:type="dxa" w:w="70"/>
              <w:left w:type="dxa" w:w="110"/>
              <w:bottom w:type="dxa" w:w="70"/>
              <w:right w:type="dxa" w:w="110"/>
            </w:tcMar>
          </w:tcPr>
          <w:p>
            <w:pPr>
              <w:spacing w:after="0" w:line="252"/>
            </w:pPr>
            <w:r>
              <w:t xml:space="preserve">Composition</w:t>
            </w:r>
          </w:p>
        </w:tc>
        <w:tc>
          <w:tcPr>
            <w:tcW w:type="dxa" w:w="7020"/>
            <w:shd w:fill="FFFFFF" w:val="clear"/>
            <w:tcMar>
              <w:top w:type="dxa" w:w="70"/>
              <w:left w:type="dxa" w:w="110"/>
              <w:bottom w:type="dxa" w:w="70"/>
              <w:right w:type="dxa" w:w="110"/>
            </w:tcMar>
          </w:tcPr>
          <w:p>
            <w:pPr>
              <w:spacing w:after="0" w:line="252"/>
            </w:pPr>
            <w:r>
              <w:t xml:space="preserve">barres · aires empilées · circulaire · anneau · carte proportionnelle</w:t>
            </w:r>
          </w:p>
        </w:tc>
      </w:tr>
      <w:tr>
        <w:tc>
          <w:tcPr>
            <w:tcW w:type="dxa" w:w="2340"/>
            <w:shd w:fill="FFFFFF" w:val="clear"/>
            <w:tcMar>
              <w:top w:type="dxa" w:w="70"/>
              <w:left w:type="dxa" w:w="110"/>
              <w:bottom w:type="dxa" w:w="70"/>
              <w:right w:type="dxa" w:w="110"/>
            </w:tcMar>
          </w:tcPr>
          <w:p>
            <w:pPr>
              <w:spacing w:after="0" w:line="252"/>
            </w:pPr>
            <w:r>
              <w:t xml:space="preserve">Matrice</w:t>
            </w:r>
          </w:p>
        </w:tc>
        <w:tc>
          <w:tcPr>
            <w:tcW w:type="dxa" w:w="7020"/>
            <w:shd w:fill="FFFFFF" w:val="clear"/>
            <w:tcMar>
              <w:top w:type="dxa" w:w="70"/>
              <w:left w:type="dxa" w:w="110"/>
              <w:bottom w:type="dxa" w:w="70"/>
              <w:right w:type="dxa" w:w="110"/>
            </w:tcMar>
          </w:tcPr>
          <w:p>
            <w:pPr>
              <w:spacing w:after="0" w:line="252"/>
            </w:pPr>
            <w:r>
              <w:t xml:space="preserve">carte de chaleur</w:t>
            </w:r>
          </w:p>
        </w:tc>
      </w:tr>
    </w:tbl>
    <w:p>
      <w:pPr>
        <w:spacing w:after="120"/>
      </w:pPr>
    </w:p>
    <w:p>
      <w:pPr>
        <w:spacing w:after="120" w:line="276"/>
      </w:pPr>
      <w:r>
        <w:t xml:space="preserve">C'est l'onglet le plus équipé en mise en forme, et il sert de référence aux autres : titres et libellés, tailles de texte, gras et italique, thème, bornes et pas d'axes, valeurs portées sur les barres, marges, clés de légende, police de base, trait des axes.</w:t>
      </w:r>
    </w:p>
    <w:p>
      <w:pPr>
        <w:pStyle w:val="Heading2"/>
        <w:spacing w:after="140" w:before="280"/>
      </w:pPr>
      <w:r>
        <w:t xml:space="preserve">Trois réglages qui rendent service et ne se devinent pas</w:t>
      </w:r>
    </w:p>
    <w:p>
      <w:pPr>
        <w:spacing w:after="120" w:line="276"/>
      </w:pPr>
      <w:r>
        <w:rPr>
          <w:b/>
          <w:bCs/>
        </w:rPr>
        <w:t xml:space="preserve">L'éditeur d'étiquettes de l'axe X.</w:t>
      </w:r>
      <w:r>
        <w:t xml:space="preserve"> On renomme une modalité </w:t>
      </w:r>
      <w:r>
        <w:rPr>
          <w:b/>
          <w:bCs/>
        </w:rPr>
        <w:t xml:space="preserve">sur la figure sans toucher aux données</w:t>
      </w:r>
      <w:r>
        <w:t xml:space="preserve"> : un code de traitement comme </w:t>
      </w:r>
      <w:r>
        <w:rPr>
          <w:rFonts w:ascii="Consolas" w:cs="Consolas" w:eastAsia="Consolas" w:hAnsi="Consolas"/>
          <w:sz w:val="19"/>
          <w:szCs w:val="19"/>
        </w:rPr>
        <w:t xml:space="preserve">2SP(0,5)&amp;2PV</w:t>
      </w:r>
      <w:r>
        <w:t xml:space="preserve"> n'a pas à partir tel quel dans un rapport. Deux modalités renommées à l'identique seraient illisibles — elles gardent alors leur nom d'origine, et les étiquettes en cause sont </w:t>
      </w:r>
      <w:r>
        <w:rPr>
          <w:b/>
          <w:bCs/>
        </w:rPr>
        <w:t xml:space="preserve">nommées</w:t>
      </w:r>
      <w:r>
        <w:t xml:space="preserve">. Les étiquettes ne sont relues </w:t>
      </w:r>
      <w:r>
        <w:rPr>
          <w:b/>
          <w:bCs/>
        </w:rPr>
        <w:t xml:space="preserve">qu'au clic</w:t>
      </w:r>
      <w:r>
        <w:t xml:space="preserve"> : les appliquer à la frappe reconstruirait la figure à chaque lettre.</w:t>
      </w:r>
    </w:p>
    <w:p>
      <w:pPr>
        <w:spacing w:after="120" w:line="276"/>
      </w:pPr>
      <w:r>
        <w:rPr>
          <w:b/>
          <w:bCs/>
        </w:rPr>
        <w:t xml:space="preserve">L'ordre des catégories, par glisser-déposer.</w:t>
      </w:r>
      <w:r>
        <w:t xml:space="preserve"> Et un </w:t>
      </w:r>
      <w:r>
        <w:rPr>
          <w:b/>
          <w:bCs/>
        </w:rPr>
        <w:t xml:space="preserve">style par niveau</w:t>
      </w:r>
      <w:r>
        <w:t xml:space="preserve"> (gras, italique) : c'est ce qui permet de distinguer le témoin des autres modalités.</w:t>
      </w:r>
    </w:p>
    <w:p>
      <w:pPr>
        <w:spacing w:after="120" w:line="276"/>
      </w:pPr>
      <w:r>
        <w:rPr>
          <w:b/>
          <w:bCs/>
        </w:rPr>
        <w:t xml:space="preserve">Le format des dates sur l'axe.</w:t>
      </w:r>
      <w:r>
        <w:t xml:space="preserve"> Les noms de mois viennent d'une table interne, pas de la locale du système — une application bilingue ne peut pas faire dépendre sa langue du système d'exploitation. À la lecture, les mois des </w:t>
      </w:r>
      <w:r>
        <w:rPr>
          <w:b/>
          <w:bCs/>
        </w:rPr>
        <w:t xml:space="preserve">deux</w:t>
      </w:r>
      <w:r>
        <w:t xml:space="preserve"> langues sont reconnus : un fichier porte les mois qu'il porte, quelle que soit la langue affichée.</w:t>
      </w:r>
    </w:p>
    <w:p>
      <w:pPr>
        <w:pStyle w:val="Heading2"/>
        <w:spacing w:after="140" w:before="280"/>
      </w:pPr>
      <w:r>
        <w:t xml:space="preserve">Le format source d'une date se déclare</w:t>
      </w:r>
    </w:p>
    <w:p>
      <w:pPr>
        <w:spacing w:after="120" w:line="276"/>
      </w:pPr>
      <w:r>
        <w:t xml:space="preserve">Quand une colonne de dates est en texte, le format source est </w:t>
      </w:r>
      <w:r>
        <w:rPr>
          <w:b/>
          <w:bCs/>
        </w:rPr>
        <w:t xml:space="preserve">reconnu automatiquement et annoncé</w:t>
      </w:r>
      <w:r>
        <w:t xml:space="preserve">. Un format déclaré qui relit bien la colonne est </w:t>
      </w:r>
      <w:r>
        <w:rPr>
          <w:b/>
          <w:bCs/>
        </w:rPr>
        <w:t xml:space="preserve">toujours gardé</w:t>
      </w:r>
      <w:r>
        <w:t xml:space="preserve"> : sur </w:t>
      </w:r>
      <w:r>
        <w:rPr>
          <w:rFonts w:ascii="Consolas" w:cs="Consolas" w:eastAsia="Consolas" w:hAnsi="Consolas"/>
          <w:sz w:val="19"/>
          <w:szCs w:val="19"/>
        </w:rPr>
        <w:t xml:space="preserve">01/02/2026</w:t>
      </w:r>
      <w:r>
        <w:t xml:space="preserve">, vous seul savez s'il s'agit du 1er février ou du 2 janvier.</w:t>
      </w:r>
    </w:p>
    <w:p>
      <w:pPr>
        <w:spacing w:after="120" w:line="276"/>
      </w:pPr>
      <w:r>
        <w:t xml:space="preserve">Deux garde-fous : un format retenu doit se </w:t>
      </w:r>
      <w:r>
        <w:rPr>
          <w:b/>
          <w:bCs/>
        </w:rPr>
        <w:t xml:space="preserve">relire</w:t>
      </w:r>
      <w:r>
        <w:t xml:space="preserve"> (sans quoi </w:t>
      </w:r>
      <w:r>
        <w:rPr>
          <w:rFonts w:ascii="Consolas" w:cs="Consolas" w:eastAsia="Consolas" w:hAnsi="Consolas"/>
          <w:sz w:val="19"/>
          <w:szCs w:val="19"/>
        </w:rPr>
        <w:t xml:space="preserve">20/10/2026</w:t>
      </w:r>
      <w:r>
        <w:t xml:space="preserve"> lu en </w:t>
      </w:r>
      <w:r>
        <w:rPr>
          <w:rFonts w:ascii="Consolas" w:cs="Consolas" w:eastAsia="Consolas" w:hAnsi="Consolas"/>
          <w:sz w:val="19"/>
          <w:szCs w:val="19"/>
        </w:rPr>
        <w:t xml:space="preserve">%Y/%m/%d</w:t>
      </w:r>
      <w:r>
        <w:t xml:space="preserve"> donnerait l'an </w:t>
      </w:r>
      <w:r>
        <w:rPr>
          <w:b/>
          <w:bCs/>
        </w:rPr>
        <w:t xml:space="preserve">20</w:t>
      </w:r>
      <w:r>
        <w:t xml:space="preserve">, sur un graphique qui se trace sans rien dire), et une </w:t>
      </w:r>
      <w:r>
        <w:rPr>
          <w:b/>
          <w:bCs/>
        </w:rPr>
        <w:t xml:space="preserve">ambiguïté réelle</w:t>
      </w:r>
      <w:r>
        <w:t xml:space="preserve"> entre plusieurs formats est nommée plutôt que tranchée en silence.</w:t>
      </w:r>
    </w:p>
    <w:p>
      <w:pPr>
        <w:pStyle w:val="Heading2"/>
        <w:spacing w:after="140" w:before="280"/>
      </w:pPr>
      <w:r>
        <w:t xml:space="preserve">Corrélations</w:t>
      </w:r>
    </w:p>
    <w:p>
      <w:pPr>
        <w:spacing w:after="120" w:line="276"/>
      </w:pPr>
      <w:r>
        <w:t xml:space="preserve">Matrice de corrélation avec son graphique et son interprétation. Le coefficient, le sens du test et le niveau de confiance sont des réglages ; la phrase d'interprétation porte </w:t>
      </w:r>
      <w:r>
        <w:rPr>
          <w:b/>
          <w:bCs/>
        </w:rPr>
        <w:t xml:space="preserve">le niveau réellement calculé</w:t>
      </w:r>
      <w:r>
        <w:t xml:space="preserve">, pas un niveau écrit en dur.</w:t>
      </w:r>
    </w:p>
    <w:p>
      <w:pPr>
        <w:pStyle w:val="Heading1"/>
        <w:spacing w:after="180" w:before="360"/>
      </w:pPr>
      <w:r>
        <w:t xml:space="preserve">6. Tester et modéliser</w:t>
      </w:r>
    </w:p>
    <w:p>
      <w:pPr>
        <w:pStyle w:val="Heading2"/>
        <w:spacing w:after="140" w:before="280"/>
      </w:pPr>
      <w:r>
        <w:t xml:space="preserve">Tests statistiques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6F4A" w:val="clear"/>
            <w:tcMar>
              <w:top w:type="dxa" w:w="70"/>
              <w:left w:type="dxa" w:w="110"/>
              <w:bottom w:type="dxa" w:w="70"/>
              <w:right w:type="dxa" w:w="110"/>
            </w:tcMar>
          </w:tcPr>
          <w:p>
            <w:pPr>
              <w:spacing w:after="0" w:line="252"/>
            </w:pPr>
            <w:r>
              <w:rPr>
                <w:b/>
                <w:bCs/>
                <w:color w:val="FFFFFF"/>
              </w:rPr>
              <w:t xml:space="preserve">Famille</w:t>
            </w:r>
          </w:p>
        </w:tc>
        <w:tc>
          <w:tcPr>
            <w:tcW w:type="dxa" w:w="6926"/>
            <w:shd w:fill="1F6F4A" w:val="clear"/>
            <w:tcMar>
              <w:top w:type="dxa" w:w="70"/>
              <w:left w:type="dxa" w:w="110"/>
              <w:bottom w:type="dxa" w:w="70"/>
              <w:right w:type="dxa" w:w="110"/>
            </w:tcMar>
          </w:tcPr>
          <w:p>
            <w:pPr>
              <w:spacing w:after="0" w:line="252"/>
            </w:pPr>
            <w:r>
              <w:rPr>
                <w:b/>
                <w:bCs/>
                <w:color w:val="FFFFFF"/>
              </w:rPr>
              <w:t xml:space="preserve">Tests</w:t>
            </w:r>
          </w:p>
        </w:tc>
      </w:tr>
      <w:tr>
        <w:tc>
          <w:tcPr>
            <w:tcW w:type="dxa" w:w="2434"/>
            <w:shd w:fill="FFFFFF" w:val="clear"/>
            <w:tcMar>
              <w:top w:type="dxa" w:w="70"/>
              <w:left w:type="dxa" w:w="110"/>
              <w:bottom w:type="dxa" w:w="70"/>
              <w:right w:type="dxa" w:w="110"/>
            </w:tcMar>
          </w:tcPr>
          <w:p>
            <w:pPr>
              <w:spacing w:after="0" w:line="252"/>
            </w:pPr>
            <w:r>
              <w:t xml:space="preserve">Hypothèses préalables</w:t>
            </w:r>
          </w:p>
        </w:tc>
        <w:tc>
          <w:tcPr>
            <w:tcW w:type="dxa" w:w="6926"/>
            <w:shd w:fill="FFFFFF" w:val="clear"/>
            <w:tcMar>
              <w:top w:type="dxa" w:w="70"/>
              <w:left w:type="dxa" w:w="110"/>
              <w:bottom w:type="dxa" w:w="70"/>
              <w:right w:type="dxa" w:w="110"/>
            </w:tcMar>
          </w:tcPr>
          <w:p>
            <w:pPr>
              <w:spacing w:after="0" w:line="252"/>
            </w:pPr>
            <w:r>
              <w:t xml:space="preserve">normalité · homogénéité des variances</w:t>
            </w:r>
          </w:p>
        </w:tc>
      </w:tr>
      <w:tr>
        <w:tc>
          <w:tcPr>
            <w:tcW w:type="dxa" w:w="2434"/>
            <w:shd w:fill="FFFFFF" w:val="clear"/>
            <w:tcMar>
              <w:top w:type="dxa" w:w="70"/>
              <w:left w:type="dxa" w:w="110"/>
              <w:bottom w:type="dxa" w:w="70"/>
              <w:right w:type="dxa" w:w="110"/>
            </w:tcMar>
          </w:tcPr>
          <w:p>
            <w:pPr>
              <w:spacing w:after="0" w:line="252"/>
            </w:pPr>
            <w:r>
              <w:t xml:space="preserve">Deux échantillons</w:t>
            </w:r>
          </w:p>
        </w:tc>
        <w:tc>
          <w:tcPr>
            <w:tcW w:type="dxa" w:w="6926"/>
            <w:shd w:fill="FFFFFF" w:val="clear"/>
            <w:tcMar>
              <w:top w:type="dxa" w:w="70"/>
              <w:left w:type="dxa" w:w="110"/>
              <w:bottom w:type="dxa" w:w="70"/>
              <w:right w:type="dxa" w:w="110"/>
            </w:tcMar>
          </w:tcPr>
          <w:p>
            <w:pPr>
              <w:spacing w:after="0" w:line="252"/>
            </w:pPr>
            <w:r>
              <w:t xml:space="preserve">t de </w:t>
            </w:r>
            <w:r>
              <w:rPr>
                <w:b/>
                <w:bCs/>
              </w:rPr>
              <w:t xml:space="preserve">Student</w:t>
            </w:r>
            <w:r>
              <w:t xml:space="preserve"> (variances égales) · t de </w:t>
            </w:r>
            <w:r>
              <w:rPr>
                <w:b/>
                <w:bCs/>
              </w:rPr>
              <w:t xml:space="preserve">Welch</w:t>
            </w:r>
            <w:r>
              <w:t xml:space="preserve"> (variances inégales) · Wilcoxon</w:t>
            </w:r>
          </w:p>
        </w:tc>
      </w:tr>
      <w:tr>
        <w:tc>
          <w:tcPr>
            <w:tcW w:type="dxa" w:w="2434"/>
            <w:shd w:fill="FFFFFF" w:val="clear"/>
            <w:tcMar>
              <w:top w:type="dxa" w:w="70"/>
              <w:left w:type="dxa" w:w="110"/>
              <w:bottom w:type="dxa" w:w="70"/>
              <w:right w:type="dxa" w:w="110"/>
            </w:tcMar>
          </w:tcPr>
          <w:p>
            <w:pPr>
              <w:spacing w:after="0" w:line="252"/>
            </w:pPr>
            <w:r>
              <w:t xml:space="preserve">Plus de deux groupes</w:t>
            </w:r>
          </w:p>
        </w:tc>
        <w:tc>
          <w:tcPr>
            <w:tcW w:type="dxa" w:w="6926"/>
            <w:shd w:fill="FFFFFF" w:val="clear"/>
            <w:tcMar>
              <w:top w:type="dxa" w:w="70"/>
              <w:left w:type="dxa" w:w="110"/>
              <w:bottom w:type="dxa" w:w="70"/>
              <w:right w:type="dxa" w:w="110"/>
            </w:tcMar>
          </w:tcPr>
          <w:p>
            <w:pPr>
              <w:spacing w:after="0" w:line="252"/>
            </w:pPr>
            <w:r>
              <w:t xml:space="preserve">ANOVA de </w:t>
            </w:r>
            <w:r>
              <w:rPr>
                <w:b/>
                <w:bCs/>
              </w:rPr>
              <w:t xml:space="preserve">Fisher</w:t>
            </w:r>
            <w:r>
              <w:t xml:space="preserve"> · ANOVA de </w:t>
            </w:r>
            <w:r>
              <w:rPr>
                <w:b/>
                <w:bCs/>
              </w:rPr>
              <w:t xml:space="preserve">Welch</w:t>
            </w:r>
            <w:r>
              <w:t xml:space="preserve"> · ANOVA à mesures répétées · Kruskal-Wallis · Scheirer-Ray-Hare · non paramétrique répété</w:t>
            </w:r>
          </w:p>
        </w:tc>
      </w:tr>
      <w:tr>
        <w:tc>
          <w:tcPr>
            <w:tcW w:type="dxa" w:w="2434"/>
            <w:shd w:fill="FFFFFF" w:val="clear"/>
            <w:tcMar>
              <w:top w:type="dxa" w:w="70"/>
              <w:left w:type="dxa" w:w="110"/>
              <w:bottom w:type="dxa" w:w="70"/>
              <w:right w:type="dxa" w:w="110"/>
            </w:tcMar>
          </w:tcPr>
          <w:p>
            <w:pPr>
              <w:spacing w:after="0" w:line="252"/>
            </w:pPr>
            <w:r>
              <w:t xml:space="preserve">Comparaison à une norme</w:t>
            </w:r>
          </w:p>
        </w:tc>
        <w:tc>
          <w:tcPr>
            <w:tcW w:type="dxa" w:w="6926"/>
            <w:shd w:fill="FFFFFF" w:val="clear"/>
            <w:tcMar>
              <w:top w:type="dxa" w:w="70"/>
              <w:left w:type="dxa" w:w="110"/>
              <w:bottom w:type="dxa" w:w="70"/>
              <w:right w:type="dxa" w:w="110"/>
            </w:tcMar>
          </w:tcPr>
          <w:p>
            <w:pPr>
              <w:spacing w:after="0" w:line="252"/>
            </w:pPr>
            <w:r>
              <w:t xml:space="preserve">t à 1 échantillon · z (écart-type connu) · signe (médiane) · Wilcoxon signé · binomial exact · Poisson (taux) · chi² de conformité (proportion et variance) · </w:t>
            </w:r>
            <w:r>
              <w:rPr>
                <w:b/>
                <w:bCs/>
              </w:rPr>
              <w:t xml:space="preserve">TOST</w:t>
            </w:r>
            <w:r>
              <w:t xml:space="preserve"> (équivalence)</w:t>
            </w:r>
          </w:p>
        </w:tc>
      </w:tr>
      <w:tr>
        <w:tc>
          <w:tcPr>
            <w:tcW w:type="dxa" w:w="2434"/>
            <w:shd w:fill="FFFFFF" w:val="clear"/>
            <w:tcMar>
              <w:top w:type="dxa" w:w="70"/>
              <w:left w:type="dxa" w:w="110"/>
              <w:bottom w:type="dxa" w:w="70"/>
              <w:right w:type="dxa" w:w="110"/>
            </w:tcMar>
          </w:tcPr>
          <w:p>
            <w:pPr>
              <w:spacing w:after="0" w:line="252"/>
            </w:pPr>
            <w:r>
              <w:t xml:space="preserve">Adéquation</w:t>
            </w:r>
          </w:p>
        </w:tc>
        <w:tc>
          <w:tcPr>
            <w:tcW w:type="dxa" w:w="6926"/>
            <w:shd w:fill="FFFFFF" w:val="clear"/>
            <w:tcMar>
              <w:top w:type="dxa" w:w="70"/>
              <w:left w:type="dxa" w:w="110"/>
              <w:bottom w:type="dxa" w:w="70"/>
              <w:right w:type="dxa" w:w="110"/>
            </w:tcMar>
          </w:tcPr>
          <w:p>
            <w:pPr>
              <w:spacing w:after="0" w:line="252"/>
            </w:pPr>
            <w:r>
              <w:t xml:space="preserve">chi² d'adéquation</w:t>
            </w:r>
          </w:p>
        </w:tc>
      </w:tr>
      <w:tr>
        <w:tc>
          <w:tcPr>
            <w:tcW w:type="dxa" w:w="2434"/>
            <w:shd w:fill="FFFFFF" w:val="clear"/>
            <w:tcMar>
              <w:top w:type="dxa" w:w="70"/>
              <w:left w:type="dxa" w:w="110"/>
              <w:bottom w:type="dxa" w:w="70"/>
              <w:right w:type="dxa" w:w="110"/>
            </w:tcMar>
          </w:tcPr>
          <w:p>
            <w:pPr>
              <w:spacing w:after="0" w:line="252"/>
            </w:pPr>
            <w:r>
              <w:t xml:space="preserve">Modèles</w:t>
            </w:r>
          </w:p>
        </w:tc>
        <w:tc>
          <w:tcPr>
            <w:tcW w:type="dxa" w:w="6926"/>
            <w:shd w:fill="FFFFFF" w:val="clear"/>
            <w:tcMar>
              <w:top w:type="dxa" w:w="70"/>
              <w:left w:type="dxa" w:w="110"/>
              <w:bottom w:type="dxa" w:w="70"/>
              <w:right w:type="dxa" w:w="110"/>
            </w:tcMar>
          </w:tcPr>
          <w:p>
            <w:pPr>
              <w:spacing w:after="0" w:line="252"/>
            </w:pPr>
            <w:r>
              <w:t xml:space="preserve">régression linéaire · modèle linéaire généralisé · </w:t>
            </w:r>
            <w:r>
              <w:rPr>
                <w:b/>
                <w:bCs/>
              </w:rPr>
              <w:t xml:space="preserve">LMM</w:t>
            </w:r>
            <w:r>
              <w:t xml:space="preserve"> · modèle (généralisé) mixte · MANOVA · PERMANOVA</w:t>
            </w:r>
          </w:p>
        </w:tc>
      </w:tr>
    </w:tbl>
    <w:p>
      <w:pPr>
        <w:spacing w:after="120"/>
      </w:pPr>
    </w:p>
    <w:p>
      <w:pPr>
        <w:spacing w:after="120" w:line="276"/>
      </w:pPr>
      <w:r>
        <w:rPr>
          <w:b/>
          <w:bCs/>
        </w:rPr>
        <w:t xml:space="preserve">Student et Welch sont deux boutons distincts</w:t>
      </w:r>
      <w:r>
        <w:t xml:space="preserve">, et c'est délibéré : </w:t>
      </w:r>
      <w:r>
        <w:rPr>
          <w:rFonts w:ascii="Consolas" w:cs="Consolas" w:eastAsia="Consolas" w:hAnsi="Consolas"/>
          <w:sz w:val="19"/>
          <w:szCs w:val="19"/>
        </w:rPr>
        <w:t xml:space="preserve">t.test()</w:t>
      </w:r>
      <w:r>
        <w:t xml:space="preserve"> de R est Welch </w:t>
      </w:r>
      <w:r>
        <w:rPr>
          <w:b/>
          <w:bCs/>
        </w:rPr>
        <w:t xml:space="preserve">par défaut</w:t>
      </w:r>
      <w:r>
        <w:t xml:space="preserve">, si bien qu'un bouton unique étiqueté « Student » exécuterait Welch sous un faux nom — et c'est le nom qu'on recopie dans un rapport. Même raison pour le </w:t>
      </w:r>
      <w:r>
        <w:rPr>
          <w:b/>
          <w:bCs/>
        </w:rPr>
        <w:t xml:space="preserve">LMM</w:t>
      </w:r>
      <w:r>
        <w:t xml:space="preserve">, qui impose la réponse gaussienne à lien identité et </w:t>
      </w:r>
      <w:r>
        <w:rPr>
          <w:b/>
          <w:bCs/>
        </w:rPr>
        <w:t xml:space="preserve">ne lit ni la famille ni le lien</w:t>
      </w:r>
      <w:r>
        <w:t xml:space="preserve"> : un LMM à lien logarithmique n'existe pas.</w:t>
      </w:r>
    </w:p>
    <w:p>
      <w:pPr>
        <w:spacing w:after="120" w:line="276"/>
      </w:pPr>
      <w:r>
        <w:t xml:space="preserve">Le degré de liberté de Welch est </w:t>
      </w:r>
      <w:r>
        <w:rPr>
          <w:b/>
          <w:bCs/>
        </w:rPr>
        <w:t xml:space="preserve">fractionnaire</w:t>
      </w:r>
      <w:r>
        <w:t xml:space="preserve"> — c'est la signature de la méthode. Il est affiché avec assez de décimales pour se distinguer d'un entier : un ddl arrondi ferait passer un Welch pour un Student.</w:t>
      </w:r>
    </w:p>
    <w:p>
      <w:pPr>
        <w:pStyle w:val="Heading2"/>
        <w:spacing w:after="140" w:before="280"/>
      </w:pPr>
      <w:r>
        <w:t xml:space="preserve">Comparaisons post-hoc — onze méthodes</w:t>
      </w:r>
    </w:p>
    <w:p>
      <w:pPr>
        <w:spacing w:after="120" w:line="276"/>
      </w:pPr>
      <w:r>
        <w:t xml:space="preserve">Tukey HSD (recommandé) · LSD (Fisher) · Duncan · SNK · Scheffé · REGW · Waller-Duncan · Bonferroni · Dunnett · Games-Howell · LM/GLM (emmeans + lettres CLD).</w:t>
      </w:r>
    </w:p>
    <w:p>
      <w:pPr>
        <w:spacing w:after="120" w:line="276"/>
      </w:pPr>
      <w:r>
        <w:t xml:space="preserve">Un ajustement séparé (Holm, Bonferroni, BH, Hochberg, Hommel) s'applique aux méthodes par comparaisons de paires ; celles qui portent leur propre procédure l'ignorent, et l'interface le dit.</w:t>
      </w:r>
    </w:p>
    <w:p>
      <w:pPr>
        <w:spacing w:after="120" w:line="276"/>
      </w:pPr>
      <w:r>
        <w:rPr>
          <w:b/>
          <w:bCs/>
        </w:rPr>
        <w:t xml:space="preserve">Le test global protège les lettres, par défaut.</w:t>
      </w:r>
      <w:r>
        <w:t xml:space="preserve"> Un post-hoc n'est pas un test indépendant : sans cette protection, une ANOVA à p &gt; 0,05 peut coexister avec des lettres qui séparent les modalités — deux affirmations contradictoires dans le même rapport. Mesuré sur un essai à six modalités (p = 0,12) : </w:t>
      </w:r>
      <w:r>
        <w:rPr>
          <w:b/>
          <w:bCs/>
        </w:rPr>
        <w:t xml:space="preserve">LSD, Duncan, REGW et Waller-Duncan séparent quand même</w:t>
      </w:r>
      <w:r>
        <w:t xml:space="preserve">, Tukey, SNK, Scheffé et Bonferroni non.</w:t>
      </w:r>
    </w:p>
    <w:p>
      <w:pPr>
        <w:spacing w:after="120" w:line="276"/>
      </w:pPr>
      <w:r>
        <w:t xml:space="preserve">La protection </w:t>
      </w:r>
      <w:r>
        <w:rPr>
          <w:b/>
          <w:bCs/>
        </w:rPr>
        <w:t xml:space="preserve">se décoche</w:t>
      </w:r>
      <w:r>
        <w:t xml:space="preserve"> — un désaccord Tukey/ANOVA est un fait, pas un défaut — et </w:t>
      </w:r>
      <w:r>
        <w:rPr>
          <w:b/>
          <w:bCs/>
        </w:rPr>
        <w:t xml:space="preserve">le test global est affiché à côté des lettres</w:t>
      </w:r>
      <w:r>
        <w:t xml:space="preserve"> (colonnes Test_global et p_global). Le lire dans un autre onglet est précisément ce qui rendait la contradiction invisible.</w:t>
      </w:r>
    </w:p>
    <w:p>
      <w:pPr>
        <w:spacing w:after="120" w:line="276"/>
      </w:pPr>
      <w:r>
        <w:t xml:space="preserve">Deux finesses qui évitent un résultat faux :</w:t>
      </w:r>
    </w:p>
    <w:p>
      <w:pPr>
        <w:pStyle w:val="ListParagraph"/>
        <w:numPr>
          <w:ilvl w:val="0"/>
          <w:numId w:val="1"/>
        </w:numPr>
        <w:spacing w:after="90" w:line="276"/>
      </w:pPr>
      <w:r>
        <w:rPr>
          <w:b/>
          <w:bCs/>
        </w:rPr>
        <w:t xml:space="preserve">Games-Howell se juge sur l'ANOVA de Welch</w:t>
      </w:r>
      <w:r>
        <w:t xml:space="preserve">, pas celle de Fisher. Mesuré sur cinq groupes à σ = 1 et un à σ = 20 : Fisher donne p = 0,245 (non significatif), Welch p = 0,0001. Le protéger avec Fisher </w:t>
      </w:r>
      <w:r>
        <w:rPr>
          <w:b/>
          <w:bCs/>
        </w:rPr>
        <w:t xml:space="preserve">effacerait un résultat vrai</w:t>
      </w:r>
      <w:r>
        <w:t xml:space="preserve">.</w:t>
      </w:r>
    </w:p>
    <w:p>
      <w:pPr>
        <w:pStyle w:val="ListParagraph"/>
        <w:numPr>
          <w:ilvl w:val="0"/>
          <w:numId w:val="1"/>
        </w:numPr>
        <w:spacing w:after="90" w:line="276"/>
      </w:pPr>
      <w:r>
        <w:t xml:space="preserve">Après un test de Welch, </w:t>
      </w:r>
      <w:r>
        <w:rPr>
          <w:b/>
          <w:bCs/>
        </w:rPr>
        <w:t xml:space="preserve">Games-Howell est présélectionné</w:t>
      </w:r>
      <w:r>
        <w:t xml:space="preserve"> — une présélection annoncée, pas un verrou : le choix de la méthode engage l'interprétation.</w:t>
      </w:r>
    </w:p>
    <w:p>
      <w:pPr>
        <w:pStyle w:val="Heading2"/>
        <w:spacing w:after="140" w:before="280"/>
      </w:pPr>
      <w:r>
        <w:t xml:space="preserve">Analyses multivariées</w:t>
      </w:r>
    </w:p>
    <w:p>
      <w:pPr>
        <w:spacing w:after="120" w:line="276"/>
      </w:pPr>
      <w:r>
        <w:t xml:space="preserve">Quatorze analyses : ACP, AFC, ACM, AFDM, AFM, classification (k-means, CAH, HCPC), AFD, PLS, SEM/CFA, MANOVA/PERMANOVA. Chaque résultat porte ses graphiques d'individus, de variables et son biplot.</w:t>
      </w:r>
    </w:p>
    <w:p>
      <w:pPr>
        <w:spacing w:after="120" w:line="276"/>
      </w:pPr>
      <w:r>
        <w:t xml:space="preserve">Les figures sortent dans un </w:t>
      </w:r>
      <w:r>
        <w:rPr>
          <w:b/>
          <w:bCs/>
        </w:rPr>
        <w:t xml:space="preserve">cadre carré de 7 × 7 pouces</w:t>
      </w:r>
      <w:r>
        <w:t xml:space="preserve"> — le cadre par défaut de R, celui pour lequel les tailles de ggplot2 sont réglées. Un nuage d'individus étiré horizontalement déforme les distances, or c'est justement ce qu'une ACP existe pour montrer.</w:t>
      </w:r>
    </w:p>
    <w:p>
      <w:pPr>
        <w:pStyle w:val="Heading2"/>
        <w:spacing w:after="140" w:before="280"/>
      </w:pPr>
      <w:r>
        <w:t xml:space="preserve">Modélisation &amp; prédiction</w:t>
      </w:r>
    </w:p>
    <w:p>
      <w:pPr>
        <w:spacing w:after="120" w:line="276"/>
      </w:pPr>
      <w:r>
        <w:rPr>
          <w:b/>
          <w:bCs/>
        </w:rPr>
        <w:t xml:space="preserve">Séries temporelles</w:t>
      </w:r>
      <w:r>
        <w:t xml:space="preserve">, </w:t>
      </w:r>
      <w:r>
        <w:rPr>
          <w:b/>
          <w:bCs/>
        </w:rPr>
        <w:t xml:space="preserve">Machine Learning</w:t>
      </w:r>
      <w:r>
        <w:t xml:space="preserve"> et </w:t>
      </w:r>
      <w:r>
        <w:rPr>
          <w:b/>
          <w:bCs/>
        </w:rPr>
        <w:t xml:space="preserve">Deep Learning</w:t>
      </w:r>
      <w:r>
        <w:t xml:space="preserve">. Les trois partagent le même panneau de mise en forme des graphiques, et acceptent un fichier de simulation (</w:t>
      </w:r>
      <w:r>
        <w:rPr>
          <w:rFonts w:ascii="Consolas" w:cs="Consolas" w:eastAsia="Consolas" w:hAnsi="Consolas"/>
          <w:sz w:val="19"/>
          <w:szCs w:val="19"/>
        </w:rPr>
        <w:t xml:space="preserve">.csv</w:t>
      </w:r>
      <w:r>
        <w:t xml:space="preserve"> ou </w:t>
      </w:r>
      <w:r>
        <w:rPr>
          <w:rFonts w:ascii="Consolas" w:cs="Consolas" w:eastAsia="Consolas" w:hAnsi="Consolas"/>
          <w:sz w:val="19"/>
          <w:szCs w:val="19"/>
        </w:rPr>
        <w:t xml:space="preserve">.xlsx</w:t>
      </w:r>
      <w:r>
        <w:t xml:space="preserve">) pour prédire sur de nouvelles données.</w:t>
      </w:r>
    </w:p>
    <w:p>
      <w:pPr>
        <w:pStyle w:val="Heading1"/>
        <w:spacing w:after="180" w:before="360"/>
      </w:pPr>
      <w:r>
        <w:t xml:space="preserve">7. Les modules de terrain</w:t>
      </w:r>
    </w:p>
    <w:p>
      <w:pPr>
        <w:pStyle w:val="Heading2"/>
        <w:spacing w:after="140" w:before="280"/>
      </w:pPr>
      <w:r>
        <w:t xml:space="preserve">Rendement / Gain de rendement</w:t>
      </w:r>
    </w:p>
    <w:p>
      <w:pPr>
        <w:shd w:fill="F2F4F5" w:val="clear"/>
        <w:spacing w:after="0" w:before="60"/>
        <w:ind w:left="220" w:right="220"/>
      </w:pPr>
      <w:r>
        <w:rPr>
          <w:rFonts w:ascii="Consolas" w:cs="Consolas" w:eastAsia="Consolas" w:hAnsi="Consolas"/>
          <w:sz w:val="19"/>
          <w:szCs w:val="19"/>
        </w:rPr>
        <w:t xml:space="preserve">Rendement = masse récoltée / surface</w:t>
      </w:r>
    </w:p>
    <w:p>
      <w:pPr>
        <w:shd w:fill="F2F4F5" w:val="clear"/>
        <w:spacing w:after="160" w:before="0"/>
        <w:ind w:left="220" w:right="220"/>
      </w:pPr>
      <w:r>
        <w:rPr>
          <w:rFonts w:ascii="Consolas" w:cs="Consolas" w:eastAsia="Consolas" w:hAnsi="Consolas"/>
          <w:sz w:val="19"/>
          <w:szCs w:val="19"/>
        </w:rPr>
        <w:t xml:space="preserve">Gain (%)  = (rendement du traitement − rendement du non traité) / non traité × 100</w:t>
      </w:r>
    </w:p>
    <w:p>
      <w:pPr>
        <w:spacing w:after="120" w:line="276"/>
      </w:pPr>
      <w:r>
        <w:t xml:space="preserve">Trois rendements, parce qu'il y a trois questions : le </w:t>
      </w:r>
      <w:r>
        <w:rPr>
          <w:b/>
          <w:bCs/>
        </w:rPr>
        <w:t xml:space="preserve">global</w:t>
      </w:r>
      <w:r>
        <w:t xml:space="preserve"> (masse totale / surface totale, pondéré par la surface), le </w:t>
      </w:r>
      <w:r>
        <w:rPr>
          <w:b/>
          <w:bCs/>
        </w:rPr>
        <w:t xml:space="preserve">moyen</w:t>
      </w:r>
      <w:r>
        <w:t xml:space="preserve"> (chaque répétition à égalité) et le </w:t>
      </w:r>
      <w:r>
        <w:rPr>
          <w:b/>
          <w:bCs/>
        </w:rPr>
        <w:t xml:space="preserve">cumulé</w:t>
      </w:r>
      <w:r>
        <w:t xml:space="preserve"> (ce que la modalité a produit en tout). Ils coïncident à surfaces et répétitions égales, et divergent sinon — la divergence est </w:t>
      </w:r>
      <w:r>
        <w:rPr>
          <w:b/>
          <w:bCs/>
        </w:rPr>
        <w:t xml:space="preserve">annoncée</w:t>
      </w:r>
      <w:r>
        <w:t xml:space="preserve">.</w:t>
      </w:r>
    </w:p>
    <w:p>
      <w:pPr>
        <w:spacing w:after="120" w:line="276"/>
      </w:pPr>
      <w:r>
        <w:t xml:space="preserve">Deux chemins d'entrée : masse + surface, ou une </w:t>
      </w:r>
      <w:r>
        <w:rPr>
          <w:b/>
          <w:bCs/>
        </w:rPr>
        <w:t xml:space="preserve">colonne de rendement déjà calculée</w:t>
      </w:r>
      <w:r>
        <w:t xml:space="preserve"> (le cas d'un fichier sorti du logiciel de pesée). Les deux donnent les mêmes nombres sur le même essai. Sans surface, </w:t>
      </w:r>
      <w:r>
        <w:rPr>
          <w:rFonts w:ascii="Consolas" w:cs="Consolas" w:eastAsia="Consolas" w:hAnsi="Consolas"/>
          <w:sz w:val="19"/>
          <w:szCs w:val="19"/>
        </w:rPr>
        <w:t xml:space="preserve">Rendement_global</w:t>
      </w:r>
      <w:r>
        <w:t xml:space="preserve"> est </w:t>
      </w:r>
      <w:r>
        <w:rPr>
          <w:b/>
          <w:bCs/>
        </w:rPr>
        <w:t xml:space="preserve">absent</w:t>
      </w:r>
      <w:r>
        <w:t xml:space="preserve"> plutôt que remplacé par la moyenne : ce serait annoncer une pondération qui n'a pas eu lieu.</w:t>
      </w:r>
    </w:p>
    <w:p>
      <w:pPr>
        <w:spacing w:after="120" w:line="276"/>
      </w:pPr>
      <w:r>
        <w:rPr>
          <w:b/>
          <w:bCs/>
        </w:rPr>
        <w:t xml:space="preserve">Le cumulé n'est comparable qu'à nombre de répétitions égal</w:t>
      </w:r>
      <w:r>
        <w:t xml:space="preserve">, et c'est le piège du module. Sur un essai où T0 n'a qu'une répétition contre trois, le gain de T1 vaut </w:t>
      </w:r>
      <w:r>
        <w:rPr>
          <w:b/>
          <w:bCs/>
        </w:rPr>
        <w:t xml:space="preserve">77,8 %</w:t>
      </w:r>
      <w:r>
        <w:t xml:space="preserve"> en moyen et </w:t>
      </w:r>
      <w:r>
        <w:rPr>
          <w:b/>
          <w:bCs/>
        </w:rPr>
        <w:t xml:space="preserve">433,3 %</w:t>
      </w:r>
      <w:r>
        <w:t xml:space="preserve"> en cumulé — le second est un artefact de plan. L'application le signale.</w:t>
      </w:r>
    </w:p>
    <w:p>
      <w:pPr>
        <w:spacing w:after="120" w:line="276"/>
      </w:pPr>
      <w:r>
        <w:rPr>
          <w:b/>
          <w:bCs/>
        </w:rPr>
        <w:t xml:space="preserve">Le témoin ne se devine pas</w:t>
      </w:r>
      <w:r>
        <w:t xml:space="preserve"> : le sélecteur s'ouvre sur « (à choisir) » et le calcul refuse tant qu'on n'a pas désigné la référence. Prendre la première modalité par ordre alphabétique rendrait des chiffres faux </w:t>
      </w:r>
      <w:r>
        <w:rPr>
          <w:i/>
          <w:iCs/>
        </w:rPr>
        <w:t xml:space="preserve">et</w:t>
      </w:r>
      <w:r>
        <w:t xml:space="preserve"> vraisemblables.</w:t>
      </w:r>
    </w:p>
    <w:p>
      <w:pPr>
        <w:spacing w:after="120" w:line="276"/>
      </w:pPr>
      <w:r>
        <w:t xml:space="preserve">On peut aussi </w:t>
      </w:r>
      <w:r>
        <w:rPr>
          <w:b/>
          <w:bCs/>
        </w:rPr>
        <w:t xml:space="preserve">saisir les données à la main</w:t>
      </w:r>
      <w:r>
        <w:t xml:space="preserve"> : un essai de dix traitements sur trois blocs tient en trente lignes, et exiger un CSV pour cela serait une friction pure. Le tableau est éditable, et le collage depuis un tableur fonctionne.</w:t>
      </w:r>
    </w:p>
    <w:p>
      <w:pPr>
        <w:pStyle w:val="Heading2"/>
        <w:spacing w:after="140" w:before="280"/>
      </w:pPr>
      <w:r>
        <w:t xml:space="preserve">Seuils d'efficacité — la formule d'Abbott</w:t>
      </w:r>
    </w:p>
    <w:p>
      <w:pPr>
        <w:shd w:fill="F2F4F5" w:val="clear"/>
        <w:spacing w:after="160" w:before="60"/>
        <w:ind w:left="220" w:right="220"/>
      </w:pPr>
      <w:r>
        <w:rPr>
          <w:rFonts w:ascii="Consolas" w:cs="Consolas" w:eastAsia="Consolas" w:hAnsi="Consolas"/>
          <w:sz w:val="19"/>
          <w:szCs w:val="19"/>
        </w:rPr>
        <w:t xml:space="preserve">efficacité (%) = (témoin − traitement) × 100 / témoin</w:t>
      </w:r>
    </w:p>
    <w:p>
      <w:pPr>
        <w:spacing w:after="120" w:line="276"/>
      </w:pPr>
      <w:r>
        <w:t xml:space="preserve">Quatre décisions à connaître : le témoin vaut </w:t>
      </w:r>
      <w:r>
        <w:rPr>
          <w:b/>
          <w:bCs/>
        </w:rPr>
        <w:t xml:space="preserve">0 par définition</w:t>
      </w:r>
      <w:r>
        <w:t xml:space="preserve"> ; un témoin </w:t>
      </w:r>
      <w:r>
        <w:rPr>
          <w:b/>
          <w:bCs/>
        </w:rPr>
        <w:t xml:space="preserve">nul</w:t>
      </w:r>
      <w:r>
        <w:t xml:space="preserve"> rend </w:t>
      </w:r>
      <w:r>
        <w:rPr>
          <w:rFonts w:ascii="Consolas" w:cs="Consolas" w:eastAsia="Consolas" w:hAnsi="Consolas"/>
          <w:sz w:val="19"/>
          <w:szCs w:val="19"/>
        </w:rPr>
        <w:t xml:space="preserve">NA</w:t>
      </w:r>
      <w:r>
        <w:t xml:space="preserve"> et non l'infini, et on le dit ; une efficacité </w:t>
      </w:r>
      <w:r>
        <w:rPr>
          <w:b/>
          <w:bCs/>
        </w:rPr>
        <w:t xml:space="preserve">négative</w:t>
      </w:r>
      <w:r>
        <w:t xml:space="preserve"> est un résultat (la modalité fait moins bien) et n'est pas bornée à zéro ; le </w:t>
      </w:r>
      <w:r>
        <w:rPr>
          <w:b/>
          <w:bCs/>
        </w:rPr>
        <w:t xml:space="preserve">groupement par répétition</w:t>
      </w:r>
      <w:r>
        <w:t xml:space="preserve"> est ce qui rend la suite possible — sans lui il n'y a qu'une ligne par modalité et plus rien à tester.</w:t>
      </w:r>
    </w:p>
    <w:p>
      <w:pPr>
        <w:spacing w:after="120" w:line="276"/>
      </w:pPr>
      <w:r>
        <w:t xml:space="preserve">Même partage qu'au rendement : « </w:t>
      </w:r>
      <w:r>
        <w:rPr>
          <w:b/>
          <w:bCs/>
        </w:rPr>
        <w:t xml:space="preserve">en commun</w:t>
      </w:r>
      <w:r>
        <w:t xml:space="preserve"> » (une efficacité par modalité, le chiffre du rapport) ou « </w:t>
      </w:r>
      <w:r>
        <w:rPr>
          <w:b/>
          <w:bCs/>
        </w:rPr>
        <w:t xml:space="preserve">par répétition</w:t>
      </w:r>
      <w:r>
        <w:t xml:space="preserve"> » (une vraie variable, analysable ensuite par ANOVA). Le tableau peut </w:t>
      </w:r>
      <w:r>
        <w:rPr>
          <w:b/>
          <w:bCs/>
        </w:rPr>
        <w:t xml:space="preserve">remplacer le jeu de travail</w:t>
      </w:r>
      <w:r>
        <w:t xml:space="preserve">, ce qui le rend analysable par les autres onglets — et le geste est annoncé.</w:t>
      </w:r>
    </w:p>
    <w:p>
      <w:pPr>
        <w:pStyle w:val="Heading2"/>
        <w:spacing w:after="140" w:before="280"/>
      </w:pPr>
      <w:r>
        <w:t xml:space="preserve">DL50 / CL50</w:t>
      </w:r>
    </w:p>
    <w:p>
      <w:pPr>
        <w:spacing w:after="120" w:line="276"/>
      </w:pPr>
      <w:r>
        <w:t xml:space="preserve">Régression probit dose-mortalité, reproduisant </w:t>
      </w:r>
      <w:r>
        <w:rPr>
          <w:b/>
          <w:bCs/>
        </w:rPr>
        <w:t xml:space="preserve">WIN DL</w:t>
      </w:r>
      <w:r>
        <w:t xml:space="preserve"> (CIRAD) au chiffre près : sur le fichier de référence du logiciel, 27 grandeurs à un écart relatif maximal de 2,5 × 10⁻⁴.</w:t>
      </w:r>
    </w:p>
    <w:p>
      <w:pPr>
        <w:spacing w:after="120" w:line="276"/>
      </w:pPr>
      <w:r>
        <w:t xml:space="preserve">La mortalité naturelle se traite par </w:t>
      </w:r>
      <w:r>
        <w:rPr>
          <w:b/>
          <w:bCs/>
        </w:rPr>
        <w:t xml:space="preserve">Abbott</w:t>
      </w:r>
      <w:r>
        <w:t xml:space="preserve"> ou par </w:t>
      </w:r>
      <w:r>
        <w:rPr>
          <w:b/>
          <w:bCs/>
        </w:rPr>
        <w:t xml:space="preserve">EM</w:t>
      </w:r>
      <w:r>
        <w:t xml:space="preserve"> ; les doses létales viennent avec erreur-type, intervalles de </w:t>
      </w:r>
      <w:r>
        <w:rPr>
          <w:b/>
          <w:bCs/>
        </w:rPr>
        <w:t xml:space="preserve">Fieller</w:t>
      </w:r>
      <w:r>
        <w:t xml:space="preserve"> (avec repli sur la delta-méthode quand Fieller n'est plus borné), écart-type de tolérance et </w:t>
      </w:r>
      <w:r>
        <w:rPr>
          <w:b/>
          <w:bCs/>
        </w:rPr>
        <w:t xml:space="preserve">rapport de puissance</w:t>
      </w:r>
      <w:r>
        <w:t xml:space="preserve"> (résistance). Les fichiers natifs WIN DL s'importent et s'exportent.</w:t>
      </w:r>
    </w:p>
    <w:p>
      <w:pPr>
        <w:spacing w:after="120" w:line="276"/>
      </w:pPr>
      <w:r>
        <w:t xml:space="preserve">Quatre refus que le module oppose, et chacun évite un résultat publiable et faux : une </w:t>
      </w:r>
      <w:r>
        <w:rPr>
          <w:b/>
          <w:bCs/>
        </w:rPr>
        <w:t xml:space="preserve">pente négative</w:t>
      </w:r>
      <w:r>
        <w:t xml:space="preserve"> (deux colonnes inversées), une </w:t>
      </w:r>
      <w:r>
        <w:rPr>
          <w:b/>
          <w:bCs/>
        </w:rPr>
        <w:t xml:space="preserve">dose létale extrapolée</w:t>
      </w:r>
      <w:r>
        <w:t xml:space="preserve"> hors de l'étendue testée (nommée, pas tue), un </w:t>
      </w:r>
      <w:r>
        <w:rPr>
          <w:b/>
          <w:bCs/>
        </w:rPr>
        <w:t xml:space="preserve">chi² sans degré de liberté résiduel</w:t>
      </w:r>
      <w:r>
        <w:t xml:space="preserve"> (qui ne teste rien), et un </w:t>
      </w:r>
      <w:r>
        <w:rPr>
          <w:b/>
          <w:bCs/>
        </w:rPr>
        <w:t xml:space="preserve">modèle contraint</w:t>
      </w:r>
      <w:r>
        <w:t xml:space="preserve"> qui dépasserait le modèle libre.</w:t>
      </w:r>
    </w:p>
    <w:p>
      <w:pPr>
        <w:spacing w:after="120" w:line="276"/>
      </w:pPr>
      <w:r>
        <w:rPr>
          <w:b/>
          <w:bCs/>
        </w:rPr>
        <w:t xml:space="preserve">Le rapport de puissance n'a de sens qu'à pente commune</w:t>
      </w:r>
      <w:r>
        <w:t xml:space="preserve"> : sinon il vaut 3 à la DL50 et 12 à la DL90. Le test de parallélisme est donc calculé </w:t>
      </w:r>
      <w:r>
        <w:rPr>
          <w:b/>
          <w:bCs/>
        </w:rPr>
        <w:t xml:space="preserve">avant</w:t>
      </w:r>
      <w:r>
        <w:t xml:space="preserve"> et rendu </w:t>
      </w:r>
      <w:r>
        <w:rPr>
          <w:b/>
          <w:bCs/>
        </w:rPr>
        <w:t xml:space="preserve">avec</w:t>
      </w:r>
      <w:r>
        <w:t xml:space="preserve">.</w:t>
      </w:r>
    </w:p>
    <w:p>
      <w:pPr>
        <w:pStyle w:val="Heading2"/>
        <w:spacing w:after="140" w:before="280"/>
      </w:pPr>
      <w:r>
        <w:t xml:space="preserve">Doses &amp; dilutions</w:t>
      </w:r>
    </w:p>
    <w:p>
      <w:pPr>
        <w:spacing w:after="120" w:line="276"/>
      </w:pPr>
      <w:r>
        <w:t xml:space="preserve">Trois calculs sur deux égalités — </w:t>
      </w:r>
      <w:r>
        <w:rPr>
          <w:rFonts w:ascii="Consolas" w:cs="Consolas" w:eastAsia="Consolas" w:hAnsi="Consolas"/>
          <w:sz w:val="19"/>
          <w:szCs w:val="19"/>
        </w:rPr>
        <w:t xml:space="preserve">grammage = dose × concentration</w:t>
      </w:r>
      <w:r>
        <w:t xml:space="preserve"> et </w:t>
      </w:r>
      <w:r>
        <w:rPr>
          <w:rFonts w:ascii="Consolas" w:cs="Consolas" w:eastAsia="Consolas" w:hAnsi="Consolas"/>
          <w:sz w:val="19"/>
          <w:szCs w:val="19"/>
        </w:rPr>
        <w:t xml:space="preserve">Vi × Ci = Vf × Cf</w:t>
      </w:r>
      <w:r>
        <w:t xml:space="preserve"> : concentration du produit commercial, concentration de la bouillie (g m.a./L), grammage à l'hectare.</w:t>
      </w:r>
    </w:p>
    <w:p>
      <w:pPr>
        <w:spacing w:after="120" w:line="276"/>
      </w:pPr>
      <w:r>
        <w:rPr>
          <w:b/>
          <w:bCs/>
        </w:rPr>
        <w:t xml:space="preserve">Chaque résultat porte la formule qui l'a produit</w:t>
      </w:r>
      <w:r>
        <w:t xml:space="preserve">, à l'écran comme dans le fichier exporté. Un chiffre de dose qu'on ne peut pas refaire à la main ne sera pas appliqué au champ — il sera recalculé. Une </w:t>
      </w:r>
      <w:r>
        <w:rPr>
          <w:b/>
          <w:bCs/>
        </w:rPr>
        <w:t xml:space="preserve">unité inconnue</w:t>
      </w:r>
      <w:r>
        <w:t xml:space="preserve"> rend </w:t>
      </w:r>
      <w:r>
        <w:rPr>
          <w:rFonts w:ascii="Consolas" w:cs="Consolas" w:eastAsia="Consolas" w:hAnsi="Consolas"/>
          <w:sz w:val="19"/>
          <w:szCs w:val="19"/>
        </w:rPr>
        <w:t xml:space="preserve">NA</w:t>
      </w:r>
      <w:r>
        <w:t xml:space="preserve">, jamais 1 : un facteur muet donnerait un résultat mille fois trop grand sans le moindre signe.</w:t>
      </w:r>
    </w:p>
    <w:p>
      <w:pPr>
        <w:spacing w:after="120" w:line="276"/>
      </w:pPr>
      <w:r>
        <w:t xml:space="preserve">Pour une gamme de dilutions, le prélèvement se fait </w:t>
      </w:r>
      <w:r>
        <w:rPr>
          <w:b/>
          <w:bCs/>
        </w:rPr>
        <w:t xml:space="preserve">toujours dans la solution mère</w:t>
      </w:r>
      <w:r>
        <w:t xml:space="preserve">. Le module signale quand un prélèvement devient impipetable plutôt que de rendre un nombre que personne ne peut mesurer.</w:t>
      </w:r>
    </w:p>
    <w:p>
      <w:pPr>
        <w:pStyle w:val="Heading2"/>
        <w:spacing w:after="140" w:before="280"/>
      </w:pPr>
      <w:r>
        <w:t xml:space="preserve">Plan &amp; Puissance</w:t>
      </w:r>
    </w:p>
    <w:p>
      <w:pPr>
        <w:spacing w:after="120" w:line="276"/>
      </w:pPr>
      <w:r>
        <w:t xml:space="preserve">Plans d'expérience avec randomisation, carte du dispositif et conseils d'analyse, plus le calcul de taille d'échantillon et de puissance. Cinq dispositifs de </w:t>
      </w:r>
      <w:r>
        <w:rPr>
          <w:b/>
          <w:bCs/>
        </w:rPr>
        <w:t xml:space="preserve">malherbologie</w:t>
      </w:r>
      <w:r>
        <w:t xml:space="preserve"> s'y ajoutent (densités croisées, série additive, désherbage intégré, dose-réponse, efficacité et sélectivité) — ce ne sont pas de nouveaux plans mais des </w:t>
      </w:r>
      <w:r>
        <w:rPr>
          <w:b/>
          <w:bCs/>
        </w:rPr>
        <w:t xml:space="preserve">structures de traitements</w:t>
      </w:r>
      <w:r>
        <w:t xml:space="preserve"> posées sur les plans existants, avec le piège propre à chacun et le témoin qu'il exige.</w:t>
      </w:r>
    </w:p>
    <w:p>
      <w:pPr>
        <w:pStyle w:val="Heading2"/>
        <w:spacing w:after="140" w:before="280"/>
      </w:pPr>
      <w:r>
        <w:t xml:space="preserve">Diversité écologique</w:t>
      </w:r>
    </w:p>
    <w:p>
      <w:pPr>
        <w:spacing w:after="120" w:line="276"/>
      </w:pPr>
      <w:r>
        <w:t xml:space="preserve">Environ 40 indices calculés </w:t>
      </w:r>
      <w:r>
        <w:rPr>
          <w:b/>
          <w:bCs/>
        </w:rPr>
        <w:t xml:space="preserve">en R de base</w:t>
      </w:r>
      <w:r>
        <w:t xml:space="preserve"> — </w:t>
      </w:r>
      <w:r>
        <w:rPr>
          <w:rFonts w:ascii="Consolas" w:cs="Consolas" w:eastAsia="Consolas" w:hAnsi="Consolas"/>
          <w:sz w:val="19"/>
          <w:szCs w:val="19"/>
        </w:rPr>
        <w:t xml:space="preserve">vegan</w:t>
      </w:r>
      <w:r>
        <w:t xml:space="preserve"> n'est pas appelé, pour qu'un indice ne tombe pas avec un paquet. Il sert de témoin : dix grandeurs lui sont confrontées, écart nul à 1e-10.</w:t>
      </w:r>
    </w:p>
    <w:p>
      <w:pPr>
        <w:spacing w:after="120" w:line="276"/>
      </w:pPr>
      <w:r>
        <w:t xml:space="preserve">Huit figures : rangs-abondances (Whittaker), abondance relative, indices par relevé, matrice de dissimilarité, courbes de raréfaction, accumulation des espèces, profil de Rényi, nombres de Hill.</w:t>
      </w:r>
    </w:p>
    <w:p>
      <w:pPr>
        <w:spacing w:after="120" w:line="276"/>
      </w:pPr>
      <w:r>
        <w:rPr>
          <w:b/>
          <w:bCs/>
        </w:rPr>
        <w:t xml:space="preserve">La base du logarithme fait partie du seuil</w:t>
      </w:r>
      <w:r>
        <w:t xml:space="preserve">, et c'est le piège central : </w:t>
      </w:r>
      <w:r>
        <w:rPr>
          <w:rFonts w:ascii="Consolas" w:cs="Consolas" w:eastAsia="Consolas" w:hAnsi="Consolas"/>
          <w:sz w:val="19"/>
          <w:szCs w:val="19"/>
        </w:rPr>
        <w:t xml:space="preserve">vegan</w:t>
      </w:r>
      <w:r>
        <w:t xml:space="preserve"> calcule en logarithme naturel, la grille de lecture francophone (Frontier) est en </w:t>
      </w:r>
      <w:r>
        <w:rPr>
          <w:b/>
          <w:bCs/>
        </w:rPr>
        <w:t xml:space="preserve">bits</w:t>
      </w:r>
      <w:r>
        <w:t xml:space="preserve">. Appliquer l'une à l'autre rend un verdict plausible et faux. Chaque grille déclare donc sa base, et la conversion se fait avant comparaison. Les seuils portent le </w:t>
      </w:r>
      <w:r>
        <w:rPr>
          <w:b/>
          <w:bCs/>
        </w:rPr>
        <w:t xml:space="preserve">nom de leur auteur</w:t>
      </w:r>
      <w:r>
        <w:t xml:space="preserve"> et distinguent ce qui est </w:t>
      </w:r>
      <w:r>
        <w:rPr>
          <w:b/>
          <w:bCs/>
        </w:rPr>
        <w:t xml:space="preserve">publié</w:t>
      </w:r>
      <w:r>
        <w:t xml:space="preserve"> de ce qui relève de l'</w:t>
      </w:r>
      <w:r>
        <w:rPr>
          <w:b/>
          <w:bCs/>
        </w:rPr>
        <w:t xml:space="preserve">usage</w:t>
      </w:r>
      <w:r>
        <w:t xml:space="preserve">.</w:t>
      </w:r>
    </w:p>
    <w:p>
      <w:pPr>
        <w:spacing w:after="120" w:line="276"/>
      </w:pPr>
      <w:r>
        <w:t xml:space="preserve">Deux formes de fichier sont acceptées — </w:t>
      </w:r>
      <w:r>
        <w:rPr>
          <w:b/>
          <w:bCs/>
        </w:rPr>
        <w:t xml:space="preserve">long</w:t>
      </w:r>
      <w:r>
        <w:t xml:space="preserve"> (une ligne par relevé × espèce) ou </w:t>
      </w:r>
      <w:r>
        <w:rPr>
          <w:b/>
          <w:bCs/>
        </w:rPr>
        <w:t xml:space="preserve">large</w:t>
      </w:r>
      <w:r>
        <w:t xml:space="preserve"> (la matrice déjà faite) — et la forme </w:t>
      </w:r>
      <w:r>
        <w:rPr>
          <w:b/>
          <w:bCs/>
        </w:rPr>
        <w:t xml:space="preserve">se déclare</w:t>
      </w:r>
      <w:r>
        <w:t xml:space="preserve"> : une matrice lue à l'envers sortirait plausible et fausse. Le relevé peut être désigné par </w:t>
      </w:r>
      <w:r>
        <w:rPr>
          <w:b/>
          <w:bCs/>
        </w:rPr>
        <w:t xml:space="preserve">plusieurs colonnes</w:t>
      </w:r>
      <w:r>
        <w:t xml:space="preserve"> (traitement × période × semaine) : n'en prendre qu'une agrège tout le reste sans un mot.</w:t>
      </w:r>
    </w:p>
    <w:p>
      <w:pPr>
        <w:spacing w:after="120" w:line="276"/>
      </w:pPr>
      <w:r>
        <w:rPr>
          <w:b/>
          <w:bCs/>
        </w:rPr>
        <w:t xml:space="preserve">Les stades d'une même espèce ne sont pas deux espèces.</w:t>
      </w:r>
      <w:r>
        <w:t xml:space="preserve"> </w:t>
      </w:r>
      <w:r>
        <w:rPr>
          <w:rFonts w:ascii="Consolas" w:cs="Consolas" w:eastAsia="Consolas" w:hAnsi="Consolas"/>
          <w:sz w:val="19"/>
          <w:szCs w:val="19"/>
        </w:rPr>
        <w:t xml:space="preserve">ch_Cocc</w:t>
      </w:r>
      <w:r>
        <w:t xml:space="preserve"> et </w:t>
      </w:r>
      <w:r>
        <w:rPr>
          <w:rFonts w:ascii="Consolas" w:cs="Consolas" w:eastAsia="Consolas" w:hAnsi="Consolas"/>
          <w:sz w:val="19"/>
          <w:szCs w:val="19"/>
        </w:rPr>
        <w:t xml:space="preserve">ad_Cocc</w:t>
      </w:r>
      <w:r>
        <w:t xml:space="preserve"> comptés séparément gonflent la richesse — mesuré : 8 colonnes pour 6 espèces, et 30 % d'écart sur Shannon. Le regroupement est </w:t>
      </w:r>
      <w:r>
        <w:rPr>
          <w:b/>
          <w:bCs/>
        </w:rPr>
        <w:t xml:space="preserve">proposé, jamais appliqué d'office</w:t>
      </w:r>
      <w:r>
        <w:t xml:space="preserve">, et le cas non regroupé est nommé.</w:t>
      </w:r>
    </w:p>
    <w:p>
      <w:pPr>
        <w:pStyle w:val="Heading2"/>
        <w:spacing w:after="140" w:before="280"/>
      </w:pPr>
      <w:r>
        <w:t xml:space="preserve">Épidémiologie — huit familles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6F4A" w:val="clear"/>
            <w:tcMar>
              <w:top w:type="dxa" w:w="70"/>
              <w:left w:type="dxa" w:w="110"/>
              <w:bottom w:type="dxa" w:w="70"/>
              <w:right w:type="dxa" w:w="110"/>
            </w:tcMar>
          </w:tcPr>
          <w:p>
            <w:pPr>
              <w:spacing w:after="0" w:line="252"/>
            </w:pPr>
            <w:r>
              <w:rPr>
                <w:b/>
                <w:bCs/>
                <w:color w:val="FFFFFF"/>
              </w:rPr>
              <w:t xml:space="preserve">Famille</w:t>
            </w:r>
          </w:p>
        </w:tc>
        <w:tc>
          <w:tcPr>
            <w:tcW w:type="dxa" w:w="6552"/>
            <w:shd w:fill="1F6F4A" w:val="clear"/>
            <w:tcMar>
              <w:top w:type="dxa" w:w="70"/>
              <w:left w:type="dxa" w:w="110"/>
              <w:bottom w:type="dxa" w:w="70"/>
              <w:right w:type="dxa" w:w="110"/>
            </w:tcMar>
          </w:tcPr>
          <w:p>
            <w:pPr>
              <w:spacing w:after="0" w:line="252"/>
            </w:pPr>
            <w:r>
              <w:rPr>
                <w:b/>
                <w:bCs/>
                <w:color w:val="FFFFFF"/>
              </w:rPr>
              <w:t xml:space="preserve">Ce qu'elle estime</w:t>
            </w:r>
          </w:p>
        </w:tc>
      </w:tr>
      <w:tr>
        <w:tc>
          <w:tcPr>
            <w:tcW w:type="dxa" w:w="2808"/>
            <w:shd w:fill="FFFFFF" w:val="clear"/>
            <w:tcMar>
              <w:top w:type="dxa" w:w="70"/>
              <w:left w:type="dxa" w:w="110"/>
              <w:bottom w:type="dxa" w:w="70"/>
              <w:right w:type="dxa" w:w="110"/>
            </w:tcMar>
          </w:tcPr>
          <w:p>
            <w:pPr>
              <w:spacing w:after="0" w:line="252"/>
            </w:pPr>
            <w:r>
              <w:rPr>
                <w:b/>
                <w:bCs/>
              </w:rPr>
              <w:t xml:space="preserve">DLNM</w:t>
            </w:r>
          </w:p>
        </w:tc>
        <w:tc>
          <w:tcPr>
            <w:tcW w:type="dxa" w:w="6552"/>
            <w:shd w:fill="FFFFFF" w:val="clear"/>
            <w:tcMar>
              <w:top w:type="dxa" w:w="70"/>
              <w:left w:type="dxa" w:w="110"/>
              <w:bottom w:type="dxa" w:w="70"/>
              <w:right w:type="dxa" w:w="110"/>
            </w:tcMar>
          </w:tcPr>
          <w:p>
            <w:pPr>
              <w:spacing w:after="0" w:line="252"/>
            </w:pPr>
            <w:r>
              <w:t xml:space="preserve">surface exposition × retard × réponse</w:t>
            </w:r>
          </w:p>
        </w:tc>
      </w:tr>
      <w:tr>
        <w:tc>
          <w:tcPr>
            <w:tcW w:type="dxa" w:w="2808"/>
            <w:shd w:fill="FFFFFF" w:val="clear"/>
            <w:tcMar>
              <w:top w:type="dxa" w:w="70"/>
              <w:left w:type="dxa" w:w="110"/>
              <w:bottom w:type="dxa" w:w="70"/>
              <w:right w:type="dxa" w:w="110"/>
            </w:tcMar>
          </w:tcPr>
          <w:p>
            <w:pPr>
              <w:spacing w:after="0" w:line="252"/>
            </w:pPr>
            <w:r>
              <w:rPr>
                <w:b/>
                <w:bCs/>
              </w:rPr>
              <w:t xml:space="preserve">Taux d'incidence</w:t>
            </w:r>
          </w:p>
        </w:tc>
        <w:tc>
          <w:tcPr>
            <w:tcW w:type="dxa" w:w="6552"/>
            <w:shd w:fill="FFFFFF" w:val="clear"/>
            <w:tcMar>
              <w:top w:type="dxa" w:w="70"/>
              <w:left w:type="dxa" w:w="110"/>
              <w:bottom w:type="dxa" w:w="70"/>
              <w:right w:type="dxa" w:w="110"/>
            </w:tcMar>
          </w:tcPr>
          <w:p>
            <w:pPr>
              <w:spacing w:after="0" w:line="252"/>
            </w:pPr>
            <w:r>
              <w:t xml:space="preserve">IRR, temps-personne en offset</w:t>
            </w:r>
          </w:p>
        </w:tc>
      </w:tr>
      <w:tr>
        <w:tc>
          <w:tcPr>
            <w:tcW w:type="dxa" w:w="2808"/>
            <w:shd w:fill="FFFFFF" w:val="clear"/>
            <w:tcMar>
              <w:top w:type="dxa" w:w="70"/>
              <w:left w:type="dxa" w:w="110"/>
              <w:bottom w:type="dxa" w:w="70"/>
              <w:right w:type="dxa" w:w="110"/>
            </w:tcMar>
          </w:tcPr>
          <w:p>
            <w:pPr>
              <w:spacing w:after="0" w:line="252"/>
            </w:pPr>
            <w:r>
              <w:rPr>
                <w:b/>
                <w:bCs/>
              </w:rPr>
              <w:t xml:space="preserve">Risque</w:t>
            </w:r>
          </w:p>
        </w:tc>
        <w:tc>
          <w:tcPr>
            <w:tcW w:type="dxa" w:w="6552"/>
            <w:shd w:fill="FFFFFF" w:val="clear"/>
            <w:tcMar>
              <w:top w:type="dxa" w:w="70"/>
              <w:left w:type="dxa" w:w="110"/>
              <w:bottom w:type="dxa" w:w="70"/>
              <w:right w:type="dxa" w:w="110"/>
            </w:tcMar>
          </w:tcPr>
          <w:p>
            <w:pPr>
              <w:spacing w:after="0" w:line="252"/>
            </w:pPr>
            <w:r>
              <w:t xml:space="preserve">OR </w:t>
            </w:r>
            <w:r>
              <w:rPr>
                <w:b/>
                <w:bCs/>
              </w:rPr>
              <w:t xml:space="preserve">et</w:t>
            </w:r>
            <w:r>
              <w:t xml:space="preserve"> RR ajustés, et leur écart mesuré</w:t>
            </w:r>
          </w:p>
        </w:tc>
      </w:tr>
      <w:tr>
        <w:tc>
          <w:tcPr>
            <w:tcW w:type="dxa" w:w="2808"/>
            <w:shd w:fill="FFFFFF" w:val="clear"/>
            <w:tcMar>
              <w:top w:type="dxa" w:w="70"/>
              <w:left w:type="dxa" w:w="110"/>
              <w:bottom w:type="dxa" w:w="70"/>
              <w:right w:type="dxa" w:w="110"/>
            </w:tcMar>
          </w:tcPr>
          <w:p>
            <w:pPr>
              <w:spacing w:after="0" w:line="252"/>
            </w:pPr>
            <w:r>
              <w:rPr>
                <w:b/>
                <w:bCs/>
              </w:rPr>
              <w:t xml:space="preserve">Survie</w:t>
            </w:r>
          </w:p>
        </w:tc>
        <w:tc>
          <w:tcPr>
            <w:tcW w:type="dxa" w:w="6552"/>
            <w:shd w:fill="FFFFFF" w:val="clear"/>
            <w:tcMar>
              <w:top w:type="dxa" w:w="70"/>
              <w:left w:type="dxa" w:w="110"/>
              <w:bottom w:type="dxa" w:w="70"/>
              <w:right w:type="dxa" w:w="110"/>
            </w:tcMar>
          </w:tcPr>
          <w:p>
            <w:pPr>
              <w:spacing w:after="0" w:line="252"/>
            </w:pPr>
            <w:r>
              <w:t xml:space="preserve">Kaplan-Meier, log-rank, Cox + hypothèse PH</w:t>
            </w:r>
          </w:p>
        </w:tc>
      </w:tr>
      <w:tr>
        <w:tc>
          <w:tcPr>
            <w:tcW w:type="dxa" w:w="2808"/>
            <w:shd w:fill="FFFFFF" w:val="clear"/>
            <w:tcMar>
              <w:top w:type="dxa" w:w="70"/>
              <w:left w:type="dxa" w:w="110"/>
              <w:bottom w:type="dxa" w:w="70"/>
              <w:right w:type="dxa" w:w="110"/>
            </w:tcMar>
          </w:tcPr>
          <w:p>
            <w:pPr>
              <w:spacing w:after="0" w:line="252"/>
            </w:pPr>
            <w:r>
              <w:rPr>
                <w:b/>
                <w:bCs/>
              </w:rPr>
              <w:t xml:space="preserve">Cas-croisé</w:t>
            </w:r>
          </w:p>
        </w:tc>
        <w:tc>
          <w:tcPr>
            <w:tcW w:type="dxa" w:w="6552"/>
            <w:shd w:fill="FFFFFF" w:val="clear"/>
            <w:tcMar>
              <w:top w:type="dxa" w:w="70"/>
              <w:left w:type="dxa" w:w="110"/>
              <w:bottom w:type="dxa" w:w="70"/>
              <w:right w:type="dxa" w:w="110"/>
            </w:tcMar>
          </w:tcPr>
          <w:p>
            <w:pPr>
              <w:spacing w:after="0" w:line="252"/>
            </w:pPr>
            <w:r>
              <w:t xml:space="preserve">chaque cas est son propre témoin</w:t>
            </w:r>
          </w:p>
        </w:tc>
      </w:tr>
      <w:tr>
        <w:tc>
          <w:tcPr>
            <w:tcW w:type="dxa" w:w="2808"/>
            <w:shd w:fill="FFFFFF" w:val="clear"/>
            <w:tcMar>
              <w:top w:type="dxa" w:w="70"/>
              <w:left w:type="dxa" w:w="110"/>
              <w:bottom w:type="dxa" w:w="70"/>
              <w:right w:type="dxa" w:w="110"/>
            </w:tcMar>
          </w:tcPr>
          <w:p>
            <w:pPr>
              <w:spacing w:after="0" w:line="252"/>
            </w:pPr>
            <w:r>
              <w:rPr>
                <w:b/>
                <w:bCs/>
              </w:rPr>
              <w:t xml:space="preserve">Standardisation</w:t>
            </w:r>
          </w:p>
        </w:tc>
        <w:tc>
          <w:tcPr>
            <w:tcW w:type="dxa" w:w="6552"/>
            <w:shd w:fill="FFFFFF" w:val="clear"/>
            <w:tcMar>
              <w:top w:type="dxa" w:w="70"/>
              <w:left w:type="dxa" w:w="110"/>
              <w:bottom w:type="dxa" w:w="70"/>
              <w:right w:type="dxa" w:w="110"/>
            </w:tcMar>
          </w:tcPr>
          <w:p>
            <w:pPr>
              <w:spacing w:after="0" w:line="252"/>
            </w:pPr>
            <w:r>
              <w:t xml:space="preserve">directe, indirecte, SMR à intervalle exact</w:t>
            </w:r>
          </w:p>
        </w:tc>
      </w:tr>
      <w:tr>
        <w:tc>
          <w:tcPr>
            <w:tcW w:type="dxa" w:w="2808"/>
            <w:shd w:fill="FFFFFF" w:val="clear"/>
            <w:tcMar>
              <w:top w:type="dxa" w:w="70"/>
              <w:left w:type="dxa" w:w="110"/>
              <w:bottom w:type="dxa" w:w="70"/>
              <w:right w:type="dxa" w:w="110"/>
            </w:tcMar>
          </w:tcPr>
          <w:p>
            <w:pPr>
              <w:spacing w:after="0" w:line="252"/>
            </w:pPr>
            <w:r>
              <w:rPr>
                <w:b/>
                <w:bCs/>
              </w:rPr>
              <w:t xml:space="preserve">Test diagnostique</w:t>
            </w:r>
          </w:p>
        </w:tc>
        <w:tc>
          <w:tcPr>
            <w:tcW w:type="dxa" w:w="6552"/>
            <w:shd w:fill="FFFFFF" w:val="clear"/>
            <w:tcMar>
              <w:top w:type="dxa" w:w="70"/>
              <w:left w:type="dxa" w:w="110"/>
              <w:bottom w:type="dxa" w:w="70"/>
              <w:right w:type="dxa" w:w="110"/>
            </w:tcMar>
          </w:tcPr>
          <w:p>
            <w:pPr>
              <w:spacing w:after="0" w:line="252"/>
            </w:pPr>
            <w:r>
              <w:t xml:space="preserve">Se, Sp, VPP, VPN, RV, Youden, ROC</w:t>
            </w:r>
          </w:p>
        </w:tc>
      </w:tr>
      <w:tr>
        <w:tc>
          <w:tcPr>
            <w:tcW w:type="dxa" w:w="2808"/>
            <w:shd w:fill="FFFFFF" w:val="clear"/>
            <w:tcMar>
              <w:top w:type="dxa" w:w="70"/>
              <w:left w:type="dxa" w:w="110"/>
              <w:bottom w:type="dxa" w:w="70"/>
              <w:right w:type="dxa" w:w="110"/>
            </w:tcMar>
          </w:tcPr>
          <w:p>
            <w:pPr>
              <w:spacing w:after="0" w:line="252"/>
            </w:pPr>
            <w:r>
              <w:rPr>
                <w:b/>
                <w:bCs/>
              </w:rPr>
              <w:t xml:space="preserve">Impact</w:t>
            </w:r>
          </w:p>
        </w:tc>
        <w:tc>
          <w:tcPr>
            <w:tcW w:type="dxa" w:w="6552"/>
            <w:shd w:fill="FFFFFF" w:val="clear"/>
            <w:tcMar>
              <w:top w:type="dxa" w:w="70"/>
              <w:left w:type="dxa" w:w="110"/>
              <w:bottom w:type="dxa" w:w="70"/>
              <w:right w:type="dxa" w:w="110"/>
            </w:tcMar>
          </w:tcPr>
          <w:p>
            <w:pPr>
              <w:spacing w:after="0" w:line="252"/>
            </w:pPr>
            <w:r>
              <w:t xml:space="preserve">RA, FAE, FAP, NST/NSE</w:t>
            </w:r>
          </w:p>
        </w:tc>
      </w:tr>
    </w:tbl>
    <w:p>
      <w:pPr>
        <w:spacing w:after="120"/>
      </w:pPr>
    </w:p>
    <w:p>
      <w:pPr>
        <w:spacing w:after="120" w:line="276"/>
      </w:pPr>
      <w:r>
        <w:t xml:space="preserve">Trois points qui changent une conclusion :</w:t>
      </w:r>
    </w:p>
    <w:p>
      <w:pPr>
        <w:pStyle w:val="ListParagraph"/>
        <w:numPr>
          <w:ilvl w:val="0"/>
          <w:numId w:val="1"/>
        </w:numPr>
        <w:spacing w:after="90" w:line="276"/>
      </w:pPr>
      <w:r>
        <w:rPr>
          <w:b/>
          <w:bCs/>
        </w:rPr>
        <w:t xml:space="preserve">OR et RR ne sont pas interchangeables.</w:t>
      </w:r>
      <w:r>
        <w:t xml:space="preserve"> Mesuré sur une issue présente chez 48 % des observations : OR 2,36 contre RR 1,53, soit </w:t>
      </w:r>
      <w:r>
        <w:rPr>
          <w:b/>
          <w:bCs/>
        </w:rPr>
        <w:t xml:space="preserve">54 % de surestimation</w:t>
      </w:r>
      <w:r>
        <w:t xml:space="preserve">. Les trois modèles sont ajustés sur les mêmes données et l'écart est une </w:t>
      </w:r>
      <w:r>
        <w:rPr>
          <w:b/>
          <w:bCs/>
        </w:rPr>
        <w:t xml:space="preserve">colonne</w:t>
      </w:r>
      <w:r>
        <w:t xml:space="preserve">.</w:t>
      </w:r>
    </w:p>
    <w:p>
      <w:pPr>
        <w:pStyle w:val="ListParagraph"/>
        <w:numPr>
          <w:ilvl w:val="0"/>
          <w:numId w:val="1"/>
        </w:numPr>
        <w:spacing w:after="90" w:line="276"/>
      </w:pPr>
      <w:r>
        <w:rPr>
          <w:b/>
          <w:bCs/>
        </w:rPr>
        <w:t xml:space="preserve">La valeur prédictive dépend de la prévalence.</w:t>
      </w:r>
      <w:r>
        <w:t xml:space="preserve"> Un test à 99 % / 99 % a une VPP de 99 % dans un fichier cas-témoins et de </w:t>
      </w:r>
      <w:r>
        <w:rPr>
          <w:b/>
          <w:bCs/>
        </w:rPr>
        <w:t xml:space="preserve">9 %</w:t>
      </w:r>
      <w:r>
        <w:t xml:space="preserve"> à une prévalence de 0,1 %. Les valeurs prédictives passent donc par </w:t>
      </w:r>
      <w:r>
        <w:rPr>
          <w:b/>
          <w:bCs/>
        </w:rPr>
        <w:t xml:space="preserve">Bayes</w:t>
      </w:r>
      <w:r>
        <w:t xml:space="preserve">, jamais par les effectifs du tableau.</w:t>
      </w:r>
    </w:p>
    <w:p>
      <w:pPr>
        <w:pStyle w:val="ListParagraph"/>
        <w:numPr>
          <w:ilvl w:val="0"/>
          <w:numId w:val="1"/>
        </w:numPr>
        <w:spacing w:after="90" w:line="276"/>
      </w:pPr>
      <w:r>
        <w:rPr>
          <w:b/>
          <w:bCs/>
        </w:rPr>
        <w:t xml:space="preserve">Un intervalle trop large est un budget de paramètres</w:t>
      </w:r>
      <w:r>
        <w:t xml:space="preserve">, pas un lissage manquant. Le module </w:t>
      </w:r>
      <w:r>
        <w:rPr>
          <w:b/>
          <w:bCs/>
        </w:rPr>
        <w:t xml:space="preserve">compte</w:t>
      </w:r>
      <w:r>
        <w:t xml:space="preserve"> les paramètres du modèle, les rapporte aux observations, et </w:t>
      </w:r>
      <w:r>
        <w:rPr>
          <w:b/>
          <w:bCs/>
        </w:rPr>
        <w:t xml:space="preserve">chiffre les leviers</w:t>
      </w:r>
      <w:r>
        <w:t xml:space="preserve"> : « retirer un nœud à l'exposition économise 10 paramètres ». Un conseil qui ne chiffre pas se lit comme un reproche.</w:t>
      </w:r>
    </w:p>
    <w:p>
      <w:pPr>
        <w:pStyle w:val="Heading1"/>
        <w:spacing w:after="180" w:before="360"/>
      </w:pPr>
      <w:r>
        <w:t xml:space="preserve">8. Analyses qualitatives et atelier de codage</w:t>
      </w:r>
    </w:p>
    <w:p>
      <w:pPr>
        <w:pStyle w:val="Heading2"/>
        <w:spacing w:after="140" w:before="280"/>
      </w:pPr>
      <w:r>
        <w:t xml:space="preserve">Trois natures de variable</w:t>
      </w:r>
    </w:p>
    <w:p>
      <w:pPr>
        <w:spacing w:after="120" w:line="276"/>
      </w:pPr>
      <w:r>
        <w:t xml:space="preserve">On déclare d'abord ce qu'on analyse : </w:t>
      </w:r>
      <w:r>
        <w:rPr>
          <w:b/>
          <w:bCs/>
        </w:rPr>
        <w:t xml:space="preserve">nominale</w:t>
      </w:r>
      <w:r>
        <w:t xml:space="preserve"> (catégories), </w:t>
      </w:r>
      <w:r>
        <w:rPr>
          <w:b/>
          <w:bCs/>
        </w:rPr>
        <w:t xml:space="preserve">ordinale</w:t>
      </w:r>
      <w:r>
        <w:t xml:space="preserve"> (échelles, Likert) ou </w:t>
      </w:r>
      <w:r>
        <w:rPr>
          <w:b/>
          <w:bCs/>
        </w:rPr>
        <w:t xml:space="preserve">textuelle</w:t>
      </w:r>
      <w:r>
        <w:t xml:space="preserve"> (questions ouvertes). Le reste de l'onglet en découle.</w:t>
      </w:r>
    </w:p>
    <w:p>
      <w:pPr>
        <w:spacing w:after="120" w:line="276"/>
      </w:pPr>
      <w:r>
        <w:t xml:space="preserve">Pour le nominal et l'ordinal, cinq modes : une variable · chi² / multinomial d'adéquation · tableaux croisés (2 variables) · choix multiples · échelle de Likert (multi-items). Les résultats se lisent sur quatre onglets — </w:t>
      </w:r>
      <w:r>
        <w:rPr>
          <w:b/>
          <w:bCs/>
        </w:rPr>
        <w:t xml:space="preserve">Graphiques</w:t>
      </w:r>
      <w:r>
        <w:t xml:space="preserve">, </w:t>
      </w:r>
      <w:r>
        <w:rPr>
          <w:b/>
          <w:bCs/>
        </w:rPr>
        <w:t xml:space="preserve">Métriques</w:t>
      </w:r>
      <w:r>
        <w:t xml:space="preserve">, </w:t>
      </w:r>
      <w:r>
        <w:rPr>
          <w:b/>
          <w:bCs/>
        </w:rPr>
        <w:t xml:space="preserve">Détails (tableaux)</w:t>
      </w:r>
      <w:r>
        <w:t xml:space="preserve"> et </w:t>
      </w:r>
      <w:r>
        <w:rPr>
          <w:b/>
          <w:bCs/>
        </w:rPr>
        <w:t xml:space="preserve">Tests (sortie R)</w:t>
      </w:r>
      <w:r>
        <w:t xml:space="preserve">.</w:t>
      </w:r>
    </w:p>
    <w:p>
      <w:pPr>
        <w:spacing w:after="120" w:line="276"/>
      </w:pPr>
      <w:r>
        <w:rPr>
          <w:b/>
          <w:bCs/>
        </w:rPr>
        <w:t xml:space="preserve">Une échelle accentuée reste une échelle.</w:t>
      </w:r>
      <w:r>
        <w:t xml:space="preserve"> « Élevé / Énormément » — le français correct — est reconnu comme ordinal : la détection déplie les accents des deux côtés. Sans cela la variable passerait pour nominale, donc sans médiane, sans quartiles et sans test de tendance, </w:t>
      </w:r>
      <w:r>
        <w:rPr>
          <w:b/>
          <w:bCs/>
        </w:rPr>
        <w:t xml:space="preserve">et rien ne signalerait</w:t>
      </w:r>
      <w:r>
        <w:t xml:space="preserve"> qu'un meilleur type était possible.</w:t>
      </w:r>
    </w:p>
    <w:p>
      <w:pPr>
        <w:spacing w:after="120" w:line="276"/>
      </w:pPr>
      <w:r>
        <w:t xml:space="preserve">Le seuil de </w:t>
      </w:r>
      <w:r>
        <w:rPr>
          <w:b/>
          <w:bCs/>
        </w:rPr>
        <w:t xml:space="preserve">deux</w:t>
      </w:r>
      <w:r>
        <w:t xml:space="preserve"> mots-clés est ce qui rend l'inverse sûr : le dépliage rapproche « Élève » (l'écolier) de « élevé » (le niveau), et une colonne de professions rencontrerait un motif — un seul. À un seul, l'application ordonnerait des métiers.</w:t>
      </w:r>
    </w:p>
    <w:p>
      <w:pPr>
        <w:pStyle w:val="Heading2"/>
        <w:spacing w:after="140" w:before="280"/>
      </w:pPr>
      <w:r>
        <w:t xml:space="preserve">L'atelier de codage (CAQDAS)</w:t>
      </w:r>
    </w:p>
    <w:p>
      <w:pPr>
        <w:spacing w:after="120" w:line="276"/>
      </w:pPr>
      <w:r>
        <w:t xml:space="preserve">Il vit </w:t>
      </w:r>
      <w:r>
        <w:rPr>
          <w:b/>
          <w:bCs/>
        </w:rPr>
        <w:t xml:space="preserve">dans</w:t>
      </w:r>
      <w:r>
        <w:t xml:space="preserve"> l'onglet qualitatif, sur la branche textuelle. Quatre panneaux : </w:t>
      </w:r>
      <w:r>
        <w:rPr>
          <w:b/>
          <w:bCs/>
        </w:rPr>
        <w:t xml:space="preserve">Livre de codes</w:t>
      </w:r>
      <w:r>
        <w:t xml:space="preserve">, </w:t>
      </w:r>
      <w:r>
        <w:rPr>
          <w:b/>
          <w:bCs/>
        </w:rPr>
        <w:t xml:space="preserve">Réponse à coder</w:t>
      </w:r>
      <w:r>
        <w:t xml:space="preserve">, </w:t>
      </w:r>
      <w:r>
        <w:rPr>
          <w:b/>
          <w:bCs/>
        </w:rPr>
        <w:t xml:space="preserve">Étiquettes de cette réponse</w:t>
      </w:r>
      <w:r>
        <w:t xml:space="preserve">, </w:t>
      </w:r>
      <w:r>
        <w:rPr>
          <w:b/>
          <w:bCs/>
        </w:rPr>
        <w:t xml:space="preserve">Analyse, croisement et rapports</w:t>
      </w:r>
      <w:r>
        <w:t xml:space="preserve">.</w:t>
      </w:r>
    </w:p>
    <w:p>
      <w:pPr>
        <w:spacing w:after="120" w:line="276"/>
      </w:pPr>
      <w:r>
        <w:t xml:space="preserve">On sélectionne un passage du texte et on le dépose sur un code. Le livre de codes est </w:t>
      </w:r>
      <w:r>
        <w:rPr>
          <w:b/>
          <w:bCs/>
        </w:rPr>
        <w:t xml:space="preserve">hiérarchique</w:t>
      </w:r>
      <w:r>
        <w:t xml:space="preserve"> (un code a un parent), ce qu'un livre plat ne peut pas remplacer : sans hiérarchie, l'arborescence finit encodée dans les libellés (« Prix - trop cher ») et toute agrégation devient impossible. Les comptages donnent donc </w:t>
      </w:r>
      <w:r>
        <w:rPr>
          <w:b/>
          <w:bCs/>
        </w:rPr>
        <w:t xml:space="preserve">le code seul</w:t>
      </w:r>
      <w:r>
        <w:t xml:space="preserve"> et </w:t>
      </w:r>
      <w:r>
        <w:rPr>
          <w:b/>
          <w:bCs/>
        </w:rPr>
        <w:t xml:space="preserve">toute la branche</w:t>
      </w:r>
      <w:r>
        <w:t xml:space="preserve"> — un total qui ignorerait les sous-codes afficherait zéro sur un code parent pourtant abondamment documenté.</w:t>
      </w:r>
    </w:p>
    <w:p>
      <w:pPr>
        <w:spacing w:after="120" w:line="276"/>
      </w:pPr>
      <w:r>
        <w:t xml:space="preserve">Trois règles de l'arbre : un même libellé est permis sous </w:t>
      </w:r>
      <w:r>
        <w:rPr>
          <w:b/>
          <w:bCs/>
        </w:rPr>
        <w:t xml:space="preserve">deux parents différents</w:t>
      </w:r>
      <w:r>
        <w:t xml:space="preserve"> (« Prix &gt; Qualité » et « Service &gt; Qualité » sont deux codes légitimes) ; supprimer un code </w:t>
      </w:r>
      <w:r>
        <w:rPr>
          <w:b/>
          <w:bCs/>
        </w:rPr>
        <w:t xml:space="preserve">ne supprime pas</w:t>
      </w:r>
      <w:r>
        <w:t xml:space="preserve"> le codage de ses enfants, qui remontent d'un niveau ; un code </w:t>
      </w:r>
      <w:r>
        <w:rPr>
          <w:b/>
          <w:bCs/>
        </w:rPr>
        <w:t xml:space="preserve">ne peut pas devenir son propre descendant</w:t>
      </w:r>
      <w:r>
        <w:t xml:space="preserve">.</w:t>
      </w:r>
    </w:p>
    <w:p>
      <w:pPr>
        <w:spacing w:after="120" w:line="276"/>
      </w:pPr>
      <w:r>
        <w:t xml:space="preserve">Les </w:t>
      </w:r>
      <w:r>
        <w:rPr>
          <w:b/>
          <w:bCs/>
        </w:rPr>
        <w:t xml:space="preserve">mémos</w:t>
      </w:r>
      <w:r>
        <w:t xml:space="preserve"> portent sur un code, un document, un segment, ou rien. C'est la pièce qui transforme un codage en analyse.</w:t>
      </w:r>
    </w:p>
    <w:p>
      <w:pPr>
        <w:pStyle w:val="Heading2"/>
        <w:spacing w:after="140" w:before="280"/>
      </w:pPr>
      <w:r>
        <w:t xml:space="preserve">Quatre analyses croisées, chacune avec son piège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6F4A" w:val="clear"/>
            <w:tcMar>
              <w:top w:type="dxa" w:w="70"/>
              <w:left w:type="dxa" w:w="110"/>
              <w:bottom w:type="dxa" w:w="70"/>
              <w:right w:type="dxa" w:w="110"/>
            </w:tcMar>
          </w:tcPr>
          <w:p>
            <w:pPr>
              <w:spacing w:after="0" w:line="252"/>
            </w:pPr>
            <w:r>
              <w:rPr>
                <w:b/>
                <w:bCs/>
                <w:color w:val="FFFFFF"/>
              </w:rPr>
              <w:t xml:space="preserve">Analyse</w:t>
            </w:r>
          </w:p>
        </w:tc>
        <w:tc>
          <w:tcPr>
            <w:tcW w:type="dxa" w:w="6739"/>
            <w:shd w:fill="1F6F4A" w:val="clear"/>
            <w:tcMar>
              <w:top w:type="dxa" w:w="70"/>
              <w:left w:type="dxa" w:w="110"/>
              <w:bottom w:type="dxa" w:w="70"/>
              <w:right w:type="dxa" w:w="110"/>
            </w:tcMar>
          </w:tcPr>
          <w:p>
            <w:pPr>
              <w:spacing w:after="0" w:line="252"/>
            </w:pPr>
            <w:r>
              <w:rPr>
                <w:b/>
                <w:bCs/>
                <w:color w:val="FFFFFF"/>
              </w:rPr>
              <w:t xml:space="preserve">Le point à connaître</w:t>
            </w:r>
          </w:p>
        </w:tc>
      </w:tr>
      <w:tr>
        <w:tc>
          <w:tcPr>
            <w:tcW w:type="dxa" w:w="2621"/>
            <w:shd w:fill="FFFFFF" w:val="clear"/>
            <w:tcMar>
              <w:top w:type="dxa" w:w="70"/>
              <w:left w:type="dxa" w:w="110"/>
              <w:bottom w:type="dxa" w:w="70"/>
              <w:right w:type="dxa" w:w="110"/>
            </w:tcMar>
          </w:tcPr>
          <w:p>
            <w:pPr>
              <w:spacing w:after="0" w:line="252"/>
            </w:pPr>
            <w:r>
              <w:rPr>
                <w:b/>
                <w:bCs/>
              </w:rPr>
              <w:t xml:space="preserve">Requête</w:t>
            </w:r>
          </w:p>
        </w:tc>
        <w:tc>
          <w:tcPr>
            <w:tcW w:type="dxa" w:w="6739"/>
            <w:shd w:fill="FFFFFF" w:val="clear"/>
            <w:tcMar>
              <w:top w:type="dxa" w:w="70"/>
              <w:left w:type="dxa" w:w="110"/>
              <w:bottom w:type="dxa" w:w="70"/>
              <w:right w:type="dxa" w:w="110"/>
            </w:tcMar>
          </w:tcPr>
          <w:p>
            <w:pPr>
              <w:spacing w:after="0" w:line="252"/>
            </w:pPr>
            <w:r>
              <w:t xml:space="preserve">la </w:t>
            </w:r>
            <w:r>
              <w:rPr>
                <w:b/>
                <w:bCs/>
              </w:rPr>
              <w:t xml:space="preserve">portée change le sens</w:t>
            </w:r>
            <w:r>
              <w:t xml:space="preserve"> : même document / même passage / à proximité donnent 23, 16 et 3 sur le même corpus. La portée employée est affichée</w:t>
            </w:r>
          </w:p>
        </w:tc>
      </w:tr>
      <w:tr>
        <w:tc>
          <w:tcPr>
            <w:tcW w:type="dxa" w:w="2621"/>
            <w:shd w:fill="FFFFFF" w:val="clear"/>
            <w:tcMar>
              <w:top w:type="dxa" w:w="70"/>
              <w:left w:type="dxa" w:w="110"/>
              <w:bottom w:type="dxa" w:w="70"/>
              <w:right w:type="dxa" w:w="110"/>
            </w:tcMar>
          </w:tcPr>
          <w:p>
            <w:pPr>
              <w:spacing w:after="0" w:line="252"/>
            </w:pPr>
            <w:r>
              <w:rPr>
                <w:b/>
                <w:bCs/>
              </w:rPr>
              <w:t xml:space="preserve">KWIC</w:t>
            </w:r>
            <w:r>
              <w:t xml:space="preserve"> (concordance)</w:t>
            </w:r>
          </w:p>
        </w:tc>
        <w:tc>
          <w:tcPr>
            <w:tcW w:type="dxa" w:w="6739"/>
            <w:shd w:fill="FFFFFF" w:val="clear"/>
            <w:tcMar>
              <w:top w:type="dxa" w:w="70"/>
              <w:left w:type="dxa" w:w="110"/>
              <w:bottom w:type="dxa" w:w="70"/>
              <w:right w:type="dxa" w:w="110"/>
            </w:tcMar>
          </w:tcPr>
          <w:p>
            <w:pPr>
              <w:spacing w:after="0" w:line="252"/>
            </w:pPr>
            <w:r>
              <w:t xml:space="preserve">votre motif est </w:t>
            </w:r>
            <w:r>
              <w:rPr>
                <w:b/>
                <w:bCs/>
              </w:rPr>
              <w:t xml:space="preserve">échappé par défaut</w:t>
            </w:r>
            <w:r>
              <w:t xml:space="preserve"> — « prix (cher) » ne lève pas et ne cherche pas un groupe de capture</w:t>
            </w:r>
          </w:p>
        </w:tc>
      </w:tr>
      <w:tr>
        <w:tc>
          <w:tcPr>
            <w:tcW w:type="dxa" w:w="2621"/>
            <w:shd w:fill="FFFFFF" w:val="clear"/>
            <w:tcMar>
              <w:top w:type="dxa" w:w="70"/>
              <w:left w:type="dxa" w:w="110"/>
              <w:bottom w:type="dxa" w:w="70"/>
              <w:right w:type="dxa" w:w="110"/>
            </w:tcMar>
          </w:tcPr>
          <w:p>
            <w:pPr>
              <w:spacing w:after="0" w:line="252"/>
            </w:pPr>
            <w:r>
              <w:rPr>
                <w:b/>
                <w:bCs/>
              </w:rPr>
              <w:t xml:space="preserve">Ligne de codage</w:t>
            </w:r>
          </w:p>
        </w:tc>
        <w:tc>
          <w:tcPr>
            <w:tcW w:type="dxa" w:w="6739"/>
            <w:shd w:fill="FFFFFF" w:val="clear"/>
            <w:tcMar>
              <w:top w:type="dxa" w:w="70"/>
              <w:left w:type="dxa" w:w="110"/>
              <w:bottom w:type="dxa" w:w="70"/>
              <w:right w:type="dxa" w:w="110"/>
            </w:tcMar>
          </w:tcPr>
          <w:p>
            <w:pPr>
              <w:spacing w:after="0" w:line="252"/>
            </w:pPr>
            <w:r>
              <w:t xml:space="preserve">la position est en </w:t>
            </w:r>
            <w:r>
              <w:rPr>
                <w:b/>
                <w:bCs/>
              </w:rPr>
              <w:t xml:space="preserve">pourcentage</w:t>
            </w:r>
            <w:r>
              <w:t xml:space="preserve">, pas en caractères : deux réponses de longueurs très différentes deviennent comparables</w:t>
            </w:r>
          </w:p>
        </w:tc>
      </w:tr>
      <w:tr>
        <w:tc>
          <w:tcPr>
            <w:tcW w:type="dxa" w:w="2621"/>
            <w:shd w:fill="FFFFFF" w:val="clear"/>
            <w:tcMar>
              <w:top w:type="dxa" w:w="70"/>
              <w:left w:type="dxa" w:w="110"/>
              <w:bottom w:type="dxa" w:w="70"/>
              <w:right w:type="dxa" w:w="110"/>
            </w:tcMar>
          </w:tcPr>
          <w:p>
            <w:pPr>
              <w:spacing w:after="0" w:line="252"/>
            </w:pPr>
            <w:r>
              <w:rPr>
                <w:b/>
                <w:bCs/>
              </w:rPr>
              <w:t xml:space="preserve">Accord inter-codeurs</w:t>
            </w:r>
          </w:p>
        </w:tc>
        <w:tc>
          <w:tcPr>
            <w:tcW w:type="dxa" w:w="6739"/>
            <w:shd w:fill="FFFFFF" w:val="clear"/>
            <w:tcMar>
              <w:top w:type="dxa" w:w="70"/>
              <w:left w:type="dxa" w:w="110"/>
              <w:bottom w:type="dxa" w:w="70"/>
              <w:right w:type="dxa" w:w="110"/>
            </w:tcMar>
          </w:tcPr>
          <w:p>
            <w:pPr>
              <w:spacing w:after="0" w:line="252"/>
            </w:pPr>
            <w:r>
              <w:t xml:space="preserve">l'unité est le </w:t>
            </w:r>
            <w:r>
              <w:rPr>
                <w:b/>
                <w:bCs/>
              </w:rPr>
              <w:t xml:space="preserve">couple document × code</w:t>
            </w:r>
            <w:r>
              <w:t xml:space="preserve">, et seuls les documents que </w:t>
            </w:r>
            <w:r>
              <w:rPr>
                <w:b/>
                <w:bCs/>
              </w:rPr>
              <w:t xml:space="preserve">les deux</w:t>
            </w:r>
            <w:r>
              <w:t xml:space="preserve"> ont vus comptent</w:t>
            </w:r>
          </w:p>
        </w:tc>
      </w:tr>
    </w:tbl>
    <w:p>
      <w:pPr>
        <w:spacing w:after="120"/>
      </w:pPr>
    </w:p>
    <w:p>
      <w:pPr>
        <w:spacing w:after="120" w:line="276"/>
      </w:pPr>
      <w:r>
        <w:rPr>
          <w:b/>
          <w:bCs/>
        </w:rPr>
        <w:t xml:space="preserve">Kappa n'est pas toujours défini</w:t>
      </w:r>
      <w:r>
        <w:t xml:space="preserve"> : si les deux codeurs posent (ou omettent) tout partout, le dénominateur s'annule. L'application rend alors un quatrième état, </w:t>
      </w:r>
      <w:r>
        <w:rPr>
          <w:rFonts w:ascii="Consolas" w:cs="Consolas" w:eastAsia="Consolas" w:hAnsi="Consolas"/>
          <w:sz w:val="19"/>
          <w:szCs w:val="19"/>
        </w:rPr>
        <w:t xml:space="preserve">indéterminable</w:t>
      </w:r>
      <w:r>
        <w:t xml:space="preserve">, et affiche le </w:t>
      </w:r>
      <w:r>
        <w:rPr>
          <w:b/>
          <w:bCs/>
        </w:rPr>
        <w:t xml:space="preserve">pourcentage d'accord</w:t>
      </w:r>
      <w:r>
        <w:t xml:space="preserve">, lui toujours calculable.</w:t>
      </w:r>
    </w:p>
    <w:p>
      <w:pPr>
        <w:spacing w:after="120" w:line="276"/>
      </w:pPr>
      <w:r>
        <w:rPr>
          <w:b/>
          <w:bCs/>
        </w:rPr>
        <w:t xml:space="preserve">Le codeur fait partie de l'identité d'un segment.</w:t>
      </w:r>
      <w:r>
        <w:t xml:space="preserve"> Deux codeurs qui étiquettent le même passage à l'identique — c'est-à-dire l'accord parfait, le cas le plus courant — sont bien comptés deux fois ; un double-dépôt du </w:t>
      </w:r>
      <w:r>
        <w:rPr>
          <w:b/>
          <w:bCs/>
        </w:rPr>
        <w:t xml:space="preserve">même</w:t>
      </w:r>
      <w:r>
        <w:t xml:space="preserve"> codeur, non.</w:t>
      </w:r>
    </w:p>
    <w:p>
      <w:pPr>
        <w:pStyle w:val="Heading2"/>
        <w:spacing w:after="140" w:before="280"/>
      </w:pPr>
      <w:r>
        <w:t xml:space="preserve">Le projet s'enregistre et se recharge</w:t>
      </w:r>
    </w:p>
    <w:p>
      <w:pPr>
        <w:spacing w:after="120" w:line="276"/>
      </w:pPr>
      <w:r>
        <w:t xml:space="preserve">Livre de codes, segments et mémos partent dans un </w:t>
      </w:r>
      <w:r>
        <w:rPr>
          <w:rFonts w:ascii="Consolas" w:cs="Consolas" w:eastAsia="Consolas" w:hAnsi="Consolas"/>
          <w:sz w:val="19"/>
          <w:szCs w:val="19"/>
        </w:rPr>
        <w:t xml:space="preserve">.rds</w:t>
      </w:r>
      <w:r>
        <w:t xml:space="preserve"> qu'on recharge plus tard. Un fichier d'un ancien projet est </w:t>
      </w:r>
      <w:r>
        <w:rPr>
          <w:b/>
          <w:bCs/>
        </w:rPr>
        <w:t xml:space="preserve">réparé au chargement</w:t>
      </w:r>
      <w:r>
        <w:t xml:space="preserve"> : colonne absente, parent introuvable (remonté à la racine), et </w:t>
      </w:r>
      <w:r>
        <w:rPr>
          <w:b/>
          <w:bCs/>
        </w:rPr>
        <w:t xml:space="preserve">cycle</w:t>
      </w:r>
      <w:r>
        <w:t xml:space="preserve"> — un fichier édité à la main peut en contenir un, et l'affichage de l'arbre bouclerait indéfiniment.</w:t>
      </w:r>
    </w:p>
    <w:p>
      <w:pPr>
        <w:pStyle w:val="Heading2"/>
        <w:spacing w:after="140" w:before="280"/>
      </w:pPr>
      <w:r>
        <w:t xml:space="preserve">L'assistance par modèle de langue</w:t>
      </w:r>
    </w:p>
    <w:p>
      <w:pPr>
        <w:spacing w:after="120" w:line="276"/>
      </w:pPr>
      <w:r>
        <w:t xml:space="preserve">Elle peut pré-remplir un livre de codes et pré-coder un corpus. </w:t>
      </w:r>
      <w:r>
        <w:rPr>
          <w:b/>
          <w:bCs/>
        </w:rPr>
        <w:t xml:space="preserve">Le défaut est « automatique »</w:t>
      </w:r>
      <w:r>
        <w:t xml:space="preserve"> — une thématisation statistique, gratuite, hors ligne, sans clé : une fonctionnalité facturée à l'usage ne doit jamais devenir le chemin par défaut de qui n'a rien demandé.</w:t>
      </w:r>
    </w:p>
    <w:p>
      <w:pPr>
        <w:spacing w:after="120" w:line="276"/>
      </w:pPr>
      <w:r>
        <w:t xml:space="preserve">Huit services sont proposés au-delà, chacun lisant </w:t>
      </w:r>
      <w:r>
        <w:rPr>
          <w:b/>
          <w:bCs/>
        </w:rPr>
        <w:t xml:space="preserve">sa propre</w:t>
      </w:r>
      <w:r>
        <w:t xml:space="preserve"> variable d'environnement. Et jamais une variable courante : </w:t>
      </w:r>
      <w:r>
        <w:rPr>
          <w:rFonts w:ascii="Consolas" w:cs="Consolas" w:eastAsia="Consolas" w:hAnsi="Consolas"/>
          <w:sz w:val="19"/>
          <w:szCs w:val="19"/>
        </w:rPr>
        <w:t xml:space="preserve">GITHUB_MODELS_TOKEN</w:t>
      </w:r>
      <w:r>
        <w:t xml:space="preserve"> et non </w:t>
      </w:r>
      <w:r>
        <w:rPr>
          <w:rFonts w:ascii="Consolas" w:cs="Consolas" w:eastAsia="Consolas" w:hAnsi="Consolas"/>
          <w:sz w:val="19"/>
          <w:szCs w:val="19"/>
        </w:rPr>
        <w:t xml:space="preserve">GITHUB_TOKEN</w:t>
      </w:r>
      <w:r>
        <w:t xml:space="preserve">, qui existe sur quantité de postes — la lire d'office enverrait un jeton chez un tiers sans acte de l'utilisateur.</w:t>
      </w:r>
    </w:p>
    <w:p>
      <w:pPr>
        <w:spacing w:after="120" w:line="276"/>
      </w:pPr>
      <w:r>
        <w:t xml:space="preserve">Une erreur d'API est </w:t>
      </w:r>
      <w:r>
        <w:rPr>
          <w:b/>
          <w:bCs/>
        </w:rPr>
        <w:t xml:space="preserve">traduite avec le geste à faire</w:t>
      </w:r>
      <w:r>
        <w:t xml:space="preserve">. Le cas le plus trompeur : Anthropic répond </w:t>
      </w:r>
      <w:r>
        <w:rPr>
          <w:b/>
          <w:bCs/>
        </w:rPr>
        <w:t xml:space="preserve">HTTP 400 — crédit insuffisant</w:t>
      </w:r>
      <w:r>
        <w:t xml:space="preserve">, alors que la clé est valide. Qui lit « erreur 400 » cherche une faute de frappe dans une clé parfaitement bonne. À savoir : </w:t>
      </w:r>
      <w:r>
        <w:rPr>
          <w:b/>
          <w:bCs/>
        </w:rPr>
        <w:t xml:space="preserve">un abonnement grand public (Claude Pro, ChatGPT Plus) ne donne aucun crédit d'API</w:t>
      </w:r>
      <w:r>
        <w:t xml:space="preserve"> — ce sont deux produits distincts.</w:t>
      </w:r>
    </w:p>
    <w:p>
      <w:pPr>
        <w:pStyle w:val="Heading1"/>
        <w:spacing w:after="180" w:before="360"/>
      </w:pPr>
      <w:r>
        <w:t xml:space="preserve">9. Exporter</w:t>
      </w:r>
    </w:p>
    <w:p>
      <w:pPr>
        <w:pStyle w:val="Heading2"/>
        <w:spacing w:after="140" w:before="280"/>
      </w:pPr>
      <w:r>
        <w:t xml:space="preserve">Figures : sept formats, une seule règle de résolution</w:t>
      </w:r>
    </w:p>
    <w:p>
      <w:pPr>
        <w:spacing w:after="120" w:line="276"/>
      </w:pPr>
      <w:r>
        <w:t xml:space="preserve">PNG · JPEG · TIFF · BMP · </w:t>
      </w:r>
      <w:r>
        <w:rPr>
          <w:b/>
          <w:bCs/>
        </w:rPr>
        <w:t xml:space="preserve">PDF</w:t>
      </w:r>
      <w:r>
        <w:t xml:space="preserve"> · </w:t>
      </w:r>
      <w:r>
        <w:rPr>
          <w:b/>
          <w:bCs/>
        </w:rPr>
        <w:t xml:space="preserve">SVG</w:t>
      </w:r>
      <w:r>
        <w:t xml:space="preserve"> · </w:t>
      </w:r>
      <w:r>
        <w:rPr>
          <w:b/>
          <w:bCs/>
        </w:rPr>
        <w:t xml:space="preserve">EPS</w:t>
      </w:r>
      <w:r>
        <w:t xml:space="preserve"> (les trois derniers sont vectoriels). Le format, la largeur, la hauteur, la résolution et le thème se règlent à côté de chaque figure.</w:t>
      </w:r>
    </w:p>
    <w:p>
      <w:pPr>
        <w:spacing w:after="120" w:line="276"/>
      </w:pPr>
      <w:r>
        <w:rPr>
          <w:b/>
          <w:bCs/>
        </w:rPr>
        <w:t xml:space="preserve">Augmenter la résolution ne change ni la largeur, ni la hauteur, ni la mise en page.</w:t>
      </w:r>
      <w:r>
        <w:t xml:space="preserve"> C'est la règle de toute l'application, et elle vaut la peine d'être dite parce que l'inverse est le défaut habituel. Mesuré sur une figure de 10 × 7,5 pouces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557"/>
        <w:gridCol w:w="2995"/>
      </w:tblGrid>
      <w:tr>
        <w:trPr>
          <w:tblHeader/>
        </w:trPr>
        <w:tc>
          <w:tcPr>
            <w:tcW w:type="dxa" w:w="2808"/>
            <w:shd w:fill="1F6F4A" w:val="clear"/>
            <w:tcMar>
              <w:top w:type="dxa" w:w="70"/>
              <w:left w:type="dxa" w:w="110"/>
              <w:bottom w:type="dxa" w:w="70"/>
              <w:right w:type="dxa" w:w="110"/>
            </w:tcMar>
          </w:tcPr>
          <w:p>
            <w:pPr>
              <w:spacing w:after="0" w:line="252"/>
            </w:pPr>
            <w:r>
              <w:rPr>
                <w:b/>
                <w:bCs/>
                <w:color w:val="FFFFFF"/>
              </w:rPr>
              <w:t xml:space="preserve">Résolution</w:t>
            </w:r>
          </w:p>
        </w:tc>
        <w:tc>
          <w:tcPr>
            <w:tcW w:type="dxa" w:w="3557"/>
            <w:shd w:fill="1F6F4A" w:val="clear"/>
            <w:tcMar>
              <w:top w:type="dxa" w:w="70"/>
              <w:left w:type="dxa" w:w="110"/>
              <w:bottom w:type="dxa" w:w="70"/>
              <w:right w:type="dxa" w:w="110"/>
            </w:tcMar>
          </w:tcPr>
          <w:p>
            <w:pPr>
              <w:spacing w:after="0" w:line="252"/>
            </w:pPr>
            <w:r>
              <w:rPr>
                <w:b/>
                <w:bCs/>
                <w:color w:val="FFFFFF"/>
              </w:rPr>
              <w:t xml:space="preserve">Pixels produits</w:t>
            </w:r>
          </w:p>
        </w:tc>
        <w:tc>
          <w:tcPr>
            <w:tcW w:type="dxa" w:w="2995"/>
            <w:shd w:fill="1F6F4A" w:val="clear"/>
            <w:tcMar>
              <w:top w:type="dxa" w:w="70"/>
              <w:left w:type="dxa" w:w="110"/>
              <w:bottom w:type="dxa" w:w="70"/>
              <w:right w:type="dxa" w:w="110"/>
            </w:tcMar>
          </w:tcPr>
          <w:p>
            <w:pPr>
              <w:spacing w:after="0" w:line="252"/>
            </w:pPr>
            <w:r>
              <w:rPr>
                <w:b/>
                <w:bCs/>
                <w:color w:val="FFFFFF"/>
              </w:rPr>
              <w:t xml:space="preserve">Taille physique</w:t>
            </w:r>
          </w:p>
        </w:tc>
      </w:tr>
      <w:tr>
        <w:tc>
          <w:tcPr>
            <w:tcW w:type="dxa" w:w="2808"/>
            <w:shd w:fill="FFFFFF" w:val="clear"/>
            <w:tcMar>
              <w:top w:type="dxa" w:w="70"/>
              <w:left w:type="dxa" w:w="110"/>
              <w:bottom w:type="dxa" w:w="70"/>
              <w:right w:type="dxa" w:w="110"/>
            </w:tcMar>
          </w:tcPr>
          <w:p>
            <w:pPr>
              <w:spacing w:after="0" w:line="252"/>
            </w:pPr>
            <w:r>
              <w:t xml:space="preserve">300 dpi</w:t>
            </w:r>
          </w:p>
        </w:tc>
        <w:tc>
          <w:tcPr>
            <w:tcW w:type="dxa" w:w="3557"/>
            <w:shd w:fill="FFFFFF" w:val="clear"/>
            <w:tcMar>
              <w:top w:type="dxa" w:w="70"/>
              <w:left w:type="dxa" w:w="110"/>
              <w:bottom w:type="dxa" w:w="70"/>
              <w:right w:type="dxa" w:w="110"/>
            </w:tcMar>
          </w:tcPr>
          <w:p>
            <w:pPr>
              <w:spacing w:after="0" w:line="252"/>
            </w:pPr>
            <w:r>
              <w:t xml:space="preserve">3 000 × 2 250</w:t>
            </w:r>
          </w:p>
        </w:tc>
        <w:tc>
          <w:tcPr>
            <w:tcW w:type="dxa" w:w="2995"/>
            <w:shd w:fill="FFFFFF" w:val="clear"/>
            <w:tcMar>
              <w:top w:type="dxa" w:w="70"/>
              <w:left w:type="dxa" w:w="110"/>
              <w:bottom w:type="dxa" w:w="70"/>
              <w:right w:type="dxa" w:w="110"/>
            </w:tcMar>
          </w:tcPr>
          <w:p>
            <w:pPr>
              <w:spacing w:after="0" w:line="252"/>
            </w:pPr>
            <w:r>
              <w:t xml:space="preserve">10 × 7,5 po</w:t>
            </w:r>
          </w:p>
        </w:tc>
      </w:tr>
      <w:tr>
        <w:tc>
          <w:tcPr>
            <w:tcW w:type="dxa" w:w="2808"/>
            <w:shd w:fill="FFFFFF" w:val="clear"/>
            <w:tcMar>
              <w:top w:type="dxa" w:w="70"/>
              <w:left w:type="dxa" w:w="110"/>
              <w:bottom w:type="dxa" w:w="70"/>
              <w:right w:type="dxa" w:w="110"/>
            </w:tcMar>
          </w:tcPr>
          <w:p>
            <w:pPr>
              <w:spacing w:after="0" w:line="252"/>
            </w:pPr>
            <w:r>
              <w:t xml:space="preserve">1 200 dpi</w:t>
            </w:r>
          </w:p>
        </w:tc>
        <w:tc>
          <w:tcPr>
            <w:tcW w:type="dxa" w:w="3557"/>
            <w:shd w:fill="FFFFFF" w:val="clear"/>
            <w:tcMar>
              <w:top w:type="dxa" w:w="70"/>
              <w:left w:type="dxa" w:w="110"/>
              <w:bottom w:type="dxa" w:w="70"/>
              <w:right w:type="dxa" w:w="110"/>
            </w:tcMar>
          </w:tcPr>
          <w:p>
            <w:pPr>
              <w:spacing w:after="0" w:line="252"/>
            </w:pPr>
            <w:r>
              <w:t xml:space="preserve">12 000 × 9 000</w:t>
            </w:r>
          </w:p>
        </w:tc>
        <w:tc>
          <w:tcPr>
            <w:tcW w:type="dxa" w:w="2995"/>
            <w:shd w:fill="FFFFFF" w:val="clear"/>
            <w:tcMar>
              <w:top w:type="dxa" w:w="70"/>
              <w:left w:type="dxa" w:w="110"/>
              <w:bottom w:type="dxa" w:w="70"/>
              <w:right w:type="dxa" w:w="110"/>
            </w:tcMar>
          </w:tcPr>
          <w:p>
            <w:pPr>
              <w:spacing w:after="0" w:line="252"/>
            </w:pPr>
            <w:r>
              <w:t xml:space="preserve">10 × 7,5 po</w:t>
            </w:r>
          </w:p>
        </w:tc>
      </w:tr>
      <w:tr>
        <w:tc>
          <w:tcPr>
            <w:tcW w:type="dxa" w:w="2808"/>
            <w:shd w:fill="FFFFFF" w:val="clear"/>
            <w:tcMar>
              <w:top w:type="dxa" w:w="70"/>
              <w:left w:type="dxa" w:w="110"/>
              <w:bottom w:type="dxa" w:w="70"/>
              <w:right w:type="dxa" w:w="110"/>
            </w:tcMar>
          </w:tcPr>
          <w:p>
            <w:pPr>
              <w:spacing w:after="0" w:line="252"/>
            </w:pPr>
            <w:r>
              <w:t xml:space="preserve">20 000 dpi</w:t>
            </w:r>
          </w:p>
        </w:tc>
        <w:tc>
          <w:tcPr>
            <w:tcW w:type="dxa" w:w="3557"/>
            <w:shd w:fill="FFFFFF" w:val="clear"/>
            <w:tcMar>
              <w:top w:type="dxa" w:w="70"/>
              <w:left w:type="dxa" w:w="110"/>
              <w:bottom w:type="dxa" w:w="70"/>
              <w:right w:type="dxa" w:w="110"/>
            </w:tcMar>
          </w:tcPr>
          <w:p>
            <w:pPr>
              <w:spacing w:after="0" w:line="252"/>
            </w:pPr>
            <w:r>
              <w:t xml:space="preserve">20 000 × 15 000</w:t>
            </w:r>
          </w:p>
        </w:tc>
        <w:tc>
          <w:tcPr>
            <w:tcW w:type="dxa" w:w="2995"/>
            <w:shd w:fill="FFFFFF" w:val="clear"/>
            <w:tcMar>
              <w:top w:type="dxa" w:w="70"/>
              <w:left w:type="dxa" w:w="110"/>
              <w:bottom w:type="dxa" w:w="70"/>
              <w:right w:type="dxa" w:w="110"/>
            </w:tcMar>
          </w:tcPr>
          <w:p>
            <w:pPr>
              <w:spacing w:after="0" w:line="252"/>
            </w:pPr>
            <w:r>
              <w:t xml:space="preserve">10 × 7,5 po</w:t>
            </w:r>
          </w:p>
        </w:tc>
      </w:tr>
    </w:tbl>
    <w:p>
      <w:pPr>
        <w:spacing w:after="120"/>
      </w:pPr>
    </w:p>
    <w:p>
      <w:pPr>
        <w:spacing w:after="120" w:line="276"/>
      </w:pPr>
      <w:r>
        <w:t xml:space="preserve">Le champ de résolution monte à </w:t>
      </w:r>
      <w:r>
        <w:rPr>
          <w:b/>
          <w:bCs/>
        </w:rPr>
        <w:t xml:space="preserve">20 000</w:t>
      </w:r>
      <w:r>
        <w:t xml:space="preserve">, partout et sans exception. Au-delà de 20 000 pixels de côté, la résolution est </w:t>
      </w:r>
      <w:r>
        <w:rPr>
          <w:b/>
          <w:bCs/>
        </w:rPr>
        <w:t xml:space="preserve">abaissée et l'annonce est faite</w:t>
      </w:r>
      <w:r>
        <w:t xml:space="preserve"> : le périphérique graphique échouerait sur l'allocation, et un export silencieusement dégradé serait pire qu'un refus.</w:t>
      </w:r>
    </w:p>
    <w:p>
      <w:pPr>
        <w:spacing w:after="120" w:line="276"/>
      </w:pPr>
      <w:r>
        <w:rPr>
          <w:b/>
          <w:bCs/>
        </w:rPr>
        <w:t xml:space="preserve">Les formats vectoriels ne sont pas plafonnés</w:t>
      </w:r>
      <w:r>
        <w:t xml:space="preserve"> — leur résolution est infinie et le DPI n'y veut rien dire. C'est la vraie réponse à « je veux 20 000 dpi sans rien perdre ».</w:t>
      </w:r>
    </w:p>
    <w:p>
      <w:pPr>
        <w:spacing w:after="120" w:line="276"/>
      </w:pPr>
      <w:r>
        <w:t xml:space="preserve">Compter le temps : sur une figure ordinaire, environ 0,3 s à 300 dpi, 3 s à 1 200 dpi et 8 à 10 s au plafond. Sur un serveur partagé, ces secondes sont celles de tout le monde — Shiny sert toutes les sessions depuis un seul processus R.</w:t>
      </w:r>
    </w:p>
    <w:p>
      <w:pPr>
        <w:pStyle w:val="Heading2"/>
        <w:spacing w:after="140" w:before="280"/>
      </w:pPr>
      <w:r>
        <w:t xml:space="preserve">Un téléchargement d'image ne renvoie jamais de HTML</w:t>
      </w:r>
    </w:p>
    <w:p>
      <w:pPr>
        <w:spacing w:after="120" w:line="276"/>
      </w:pPr>
      <w:r>
        <w:t xml:space="preserve">Toutes les images passent par un écrivain unique qui </w:t>
      </w:r>
      <w:r>
        <w:rPr>
          <w:b/>
          <w:bCs/>
        </w:rPr>
        <w:t xml:space="preserve">garantit qu'un fichier valide existe au retour</w:t>
      </w:r>
      <w:r>
        <w:t xml:space="preserve">. À défaut de graphique, vous recevez une image portant le motif — « lancez d'abord l'analyse » — plutôt qu'un fichier nommé </w:t>
      </w:r>
      <w:r>
        <w:rPr>
          <w:rFonts w:ascii="Consolas" w:cs="Consolas" w:eastAsia="Consolas" w:hAnsi="Consolas"/>
          <w:sz w:val="19"/>
          <w:szCs w:val="19"/>
        </w:rPr>
        <w:t xml:space="preserve">.png</w:t>
      </w:r>
      <w:r>
        <w:t xml:space="preserve"> que le navigateur a rempli avec une page d'erreur et qu'aucun logiciel n'ouvre.</w:t>
      </w:r>
    </w:p>
    <w:p>
      <w:pPr>
        <w:spacing w:after="120" w:line="276"/>
      </w:pPr>
      <w:r>
        <w:t xml:space="preserve">La </w:t>
      </w:r>
      <w:r>
        <w:rPr>
          <w:b/>
          <w:bCs/>
        </w:rPr>
        <w:t xml:space="preserve">qualité JPEG</w:t>
      </w:r>
      <w:r>
        <w:t xml:space="preserve"> et la </w:t>
      </w:r>
      <w:r>
        <w:rPr>
          <w:b/>
          <w:bCs/>
        </w:rPr>
        <w:t xml:space="preserve">compression TIFF</w:t>
      </w:r>
      <w:r>
        <w:t xml:space="preserve"> sont des réglages qui agissent réellement.</w:t>
      </w:r>
    </w:p>
    <w:p>
      <w:pPr>
        <w:pStyle w:val="Heading2"/>
        <w:spacing w:after="140" w:before="280"/>
      </w:pPr>
      <w:r>
        <w:t xml:space="preserve">Tableaux : Excel ou CSV</w:t>
      </w:r>
    </w:p>
    <w:p>
      <w:pPr>
        <w:spacing w:after="120" w:line="276"/>
      </w:pPr>
      <w:r>
        <w:t xml:space="preserve">Chaque bloc de résultats exporte un </w:t>
      </w:r>
      <w:r>
        <w:rPr>
          <w:b/>
          <w:bCs/>
        </w:rPr>
        <w:t xml:space="preserve">classeur Excel</w:t>
      </w:r>
      <w:r>
        <w:t xml:space="preserve"> (une feuille par tableau) ou du </w:t>
      </w:r>
      <w:r>
        <w:rPr>
          <w:b/>
          <w:bCs/>
        </w:rPr>
        <w:t xml:space="preserve">CSV</w:t>
      </w:r>
      <w:r>
        <w:t xml:space="preserve"> — un </w:t>
      </w:r>
      <w:r>
        <w:rPr>
          <w:rFonts w:ascii="Consolas" w:cs="Consolas" w:eastAsia="Consolas" w:hAnsi="Consolas"/>
          <w:sz w:val="19"/>
          <w:szCs w:val="19"/>
        </w:rPr>
        <w:t xml:space="preserve">.csv</w:t>
      </w:r>
      <w:r>
        <w:t xml:space="preserve"> quand il n'y a qu'un tableau, une archive </w:t>
      </w:r>
      <w:r>
        <w:rPr>
          <w:rFonts w:ascii="Consolas" w:cs="Consolas" w:eastAsia="Consolas" w:hAnsi="Consolas"/>
          <w:sz w:val="19"/>
          <w:szCs w:val="19"/>
        </w:rPr>
        <w:t xml:space="preserve">.zip</w:t>
      </w:r>
      <w:r>
        <w:t xml:space="preserve"> au-delà, parce qu'un </w:t>
      </w:r>
      <w:r>
        <w:rPr>
          <w:rFonts w:ascii="Consolas" w:cs="Consolas" w:eastAsia="Consolas" w:hAnsi="Consolas"/>
          <w:sz w:val="19"/>
          <w:szCs w:val="19"/>
        </w:rPr>
        <w:t xml:space="preserve">.zip</w:t>
      </w:r>
      <w:r>
        <w:t xml:space="preserve"> contenant un seul CSV ne s'ouvre pas comme on s'y attend.</w:t>
      </w:r>
    </w:p>
    <w:p>
      <w:pPr>
        <w:spacing w:after="120" w:line="276"/>
      </w:pPr>
      <w:r>
        <w:t xml:space="preserve">Deux garanties : un nom de feuille construit à partir d'une de vos colonnes est </w:t>
      </w:r>
      <w:r>
        <w:rPr>
          <w:b/>
          <w:bCs/>
        </w:rPr>
        <w:t xml:space="preserve">nettoyé</w:t>
      </w:r>
      <w:r>
        <w:t xml:space="preserve"> des caractères qu'Excel refuse et tronqué à 31 caractères — sinon l'export entier tombait pour un seul nom ; et </w:t>
      </w:r>
      <w:r>
        <w:rPr>
          <w:b/>
          <w:bCs/>
        </w:rPr>
        <w:t xml:space="preserve">les exports gardent la précision complète</w:t>
      </w:r>
      <w:r>
        <w:t xml:space="preserve">, l'arrondi étant un réglage d'affichage. Arrondir une donnée exportée la ferait diverger du calcul dont elle sort.</w:t>
      </w:r>
    </w:p>
    <w:p>
      <w:pPr>
        <w:pStyle w:val="Heading1"/>
        <w:spacing w:after="180" w:before="360"/>
      </w:pPr>
      <w:r>
        <w:t xml:space="preserve">10. Réglages transversaux</w:t>
      </w:r>
    </w:p>
    <w:p>
      <w:pPr>
        <w:spacing w:after="120" w:line="276"/>
      </w:pPr>
      <w:r>
        <w:t xml:space="preserve">Trois commandes vivent dans l'en-tête, au-dessus de tous les onglets.</w:t>
      </w:r>
    </w:p>
    <w:p>
      <w:pPr>
        <w:pStyle w:val="Heading2"/>
        <w:spacing w:after="140" w:before="280"/>
      </w:pPr>
      <w:r>
        <w:t xml:space="preserve">Graine (reproductibilité)</w:t>
      </w:r>
    </w:p>
    <w:p>
      <w:pPr>
        <w:spacing w:after="120" w:line="276"/>
      </w:pPr>
      <w:r>
        <w:t xml:space="preserve">Un champ, </w:t>
      </w:r>
      <w:r>
        <w:rPr>
          <w:b/>
          <w:bCs/>
        </w:rPr>
        <w:t xml:space="preserve">123 par défaut</w:t>
      </w:r>
      <w:r>
        <w:t xml:space="preserve">. Tout ce qui tire au sort — randomisation d'un plan, bootstrap, partition d'apprentissage, sous-échantillonnage — en dépend. Même graine, mêmes résultats.</w:t>
      </w:r>
    </w:p>
    <w:p>
      <w:pPr>
        <w:spacing w:after="120" w:line="276"/>
      </w:pPr>
      <w:r>
        <w:t xml:space="preserve">Une précision qui compte : une graine </w:t>
      </w:r>
      <w:r>
        <w:rPr>
          <w:b/>
          <w:bCs/>
        </w:rPr>
        <w:t xml:space="preserve">fixe dans une boucle</w:t>
      </w:r>
      <w:r>
        <w:t xml:space="preserve"> rendrait tous les réplicats identiques — l'écart-type vaudrait alors 0, ce qui se lit « parfaitement reproductible » et ne mesure plus rien. Elle est posée </w:t>
      </w:r>
      <w:r>
        <w:rPr>
          <w:b/>
          <w:bCs/>
        </w:rPr>
        <w:t xml:space="preserve">avant</w:t>
      </w:r>
      <w:r>
        <w:t xml:space="preserve"> les boucles de rééchantillonnage, ce qui garde la reproductibilité </w:t>
      </w:r>
      <w:r>
        <w:rPr>
          <w:b/>
          <w:bCs/>
        </w:rPr>
        <w:t xml:space="preserve">et</w:t>
      </w:r>
      <w:r>
        <w:t xml:space="preserve"> la variabilité entre tirages.</w:t>
      </w:r>
    </w:p>
    <w:p>
      <w:pPr>
        <w:pStyle w:val="Heading2"/>
        <w:spacing w:after="140" w:before="280"/>
      </w:pPr>
      <w:r>
        <w:t xml:space="preserve">Langue : FR / EN</w:t>
      </w:r>
    </w:p>
    <w:p>
      <w:pPr>
        <w:spacing w:after="120" w:line="276"/>
      </w:pPr>
      <w:r>
        <w:t xml:space="preserve">La bascule est immédiate et </w:t>
      </w:r>
      <w:r>
        <w:rPr>
          <w:b/>
          <w:bCs/>
        </w:rPr>
        <w:t xml:space="preserve">hors ligne</w:t>
      </w:r>
      <w:r>
        <w:t xml:space="preserve"> — le dictionnaire est servi par l'application, jamais par un service de traduction.</w:t>
      </w:r>
    </w:p>
    <w:p>
      <w:pPr>
        <w:spacing w:after="120" w:line="276"/>
      </w:pPr>
      <w:r>
        <w:rPr>
          <w:b/>
          <w:bCs/>
        </w:rPr>
        <w:t xml:space="preserve">Vos données ne sont jamais traduites.</w:t>
      </w:r>
      <w:r>
        <w:t xml:space="preserve"> Le serveur envoie au navigateur la liste des termes qui viennent de votre fichier — noms de colonnes et modalités — et rien de cette liste n'est remplacé, où que ce soit dans la page. Une seconde barrière couvre ce que cette liste ne peut pas annoncer : dans une cellule de tableau, seul un texte de </w:t>
      </w:r>
      <w:r>
        <w:rPr>
          <w:b/>
          <w:bCs/>
        </w:rPr>
        <w:t xml:space="preserve">plus de 25 caractères</w:t>
      </w:r>
      <w:r>
        <w:t xml:space="preserve"> est traduit, parce qu'une valeur de données n'est presque jamais une phrase entière.</w:t>
      </w:r>
    </w:p>
    <w:p>
      <w:pPr>
        <w:spacing w:after="120" w:line="276"/>
      </w:pPr>
      <w:r>
        <w:t xml:space="preserve">Le prix est assumé : si une colonne s'appelle « Total », le libellé d'interface « Total » cesse d'être traduit lui aussi, et une interprétation courte placée dans une cellule reste en français. </w:t>
      </w:r>
      <w:r>
        <w:rPr>
          <w:b/>
          <w:bCs/>
        </w:rPr>
        <w:t xml:space="preserve">Altérer une donnée serait pire.</w:t>
      </w:r>
    </w:p>
    <w:p>
      <w:pPr>
        <w:spacing w:after="120" w:line="276"/>
      </w:pPr>
      <w:r>
        <w:t xml:space="preserve">Le retour au français restitue le </w:t>
      </w:r>
      <w:r>
        <w:rPr>
          <w:b/>
          <w:bCs/>
        </w:rPr>
        <w:t xml:space="preserve">texte d'origine</w:t>
      </w:r>
      <w:r>
        <w:t xml:space="preserve">, conservé sur chaque élément — pas une retraduction, qui perdrait les accents et confondrait deux termes traduits pareil.</w:t>
      </w:r>
    </w:p>
    <w:p>
      <w:pPr>
        <w:pStyle w:val="Heading2"/>
        <w:spacing w:after="140" w:before="280"/>
      </w:pPr>
      <w:r>
        <w:t xml:space="preserve">Réinitialiser</w:t>
      </w:r>
    </w:p>
    <w:p>
      <w:pPr>
        <w:spacing w:after="120" w:line="276"/>
      </w:pPr>
      <w:r>
        <w:t xml:space="preserve">Remet l'état de session à zéro et revient à l'onglet de chargement. Le fichier courant est </w:t>
      </w:r>
      <w:r>
        <w:rPr>
          <w:b/>
          <w:bCs/>
        </w:rPr>
        <w:t xml:space="preserve">neutralisé</w:t>
      </w:r>
      <w:r>
        <w:t xml:space="preserve"> — remettre le widget à blanc ne suffisait pas, la valeur survivait et la feuille Excel choisie avec elle.</w:t>
      </w:r>
    </w:p>
    <w:p>
      <w:pPr>
        <w:pStyle w:val="Heading2"/>
        <w:spacing w:after="140" w:before="280"/>
      </w:pPr>
      <w:r>
        <w:t xml:space="preserve">La session survit à un verrouillage d'écran</w:t>
      </w:r>
    </w:p>
    <w:p>
      <w:pPr>
        <w:spacing w:after="120" w:line="276"/>
      </w:pPr>
      <w:r>
        <w:t xml:space="preserve">Un écran verrouillé, un onglet en arrière-plan ou une coupure réseau ne ferment pas l'application. Un bandeau annonce la perte de connexion, la reconnexion se fait à recul progressif, et la reprise est immédiate au retour de visibilité, de focus ou du réseau. Une confirmation est demandée avant de fermer la page quand des données sont chargées.</w:t>
      </w:r>
    </w:p>
    <w:p>
      <w:pPr>
        <w:pStyle w:val="Heading2"/>
        <w:spacing w:after="140" w:before="280"/>
      </w:pPr>
      <w:r>
        <w:t xml:space="preserve">Sur téléphone</w:t>
      </w:r>
    </w:p>
    <w:p>
      <w:pPr>
        <w:spacing w:after="120" w:line="276"/>
      </w:pPr>
      <w:r>
        <w:t xml:space="preserve">L'interface est utilisable : ce qui ne tient pas en largeur </w:t>
      </w:r>
      <w:r>
        <w:rPr>
          <w:b/>
          <w:bCs/>
        </w:rPr>
        <w:t xml:space="preserve">se replie</w:t>
      </w:r>
      <w:r>
        <w:t xml:space="preserve"> (colonnes empilées) ou </w:t>
      </w:r>
      <w:r>
        <w:rPr>
          <w:b/>
          <w:bCs/>
        </w:rPr>
        <w:t xml:space="preserve">défile dans son propre conteneur</w:t>
      </w:r>
      <w:r>
        <w:t xml:space="preserve"> (tableaux larges) — jamais hors de la page. Le menu devient un tiroir qui se referme au choix d'un onglet et au premier contact avec le contenu. Les champs sont à 16 px, taille en dessous de laquelle Safari iOS zoome dès qu'on touche un champ et ne dézoome pas.</w:t>
      </w:r>
    </w:p>
    <w:p>
      <w:pPr>
        <w:pStyle w:val="Heading1"/>
        <w:spacing w:after="180" w:before="360"/>
      </w:pPr>
      <w:r>
        <w:t xml:space="preserve">11. Quand l'application refuse de calculer</w:t>
      </w:r>
    </w:p>
    <w:p>
      <w:pPr>
        <w:spacing w:after="120" w:line="276"/>
      </w:pPr>
      <w:r>
        <w:t xml:space="preserve">Un refus n'est presque jamais un défaut de l'outil : c'est un résultat qui aurait été </w:t>
      </w:r>
      <w:r>
        <w:rPr>
          <w:b/>
          <w:bCs/>
        </w:rPr>
        <w:t xml:space="preserve">plausible et faux</w:t>
      </w:r>
      <w:r>
        <w:t xml:space="preserve">. Les principaux, et ce qu'ils veulent dire.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182"/>
        <w:gridCol w:w="3744"/>
      </w:tblGrid>
      <w:tr>
        <w:trPr>
          <w:tblHeader/>
        </w:trPr>
        <w:tc>
          <w:tcPr>
            <w:tcW w:type="dxa" w:w="2434"/>
            <w:shd w:fill="1F6F4A" w:val="clear"/>
            <w:tcMar>
              <w:top w:type="dxa" w:w="70"/>
              <w:left w:type="dxa" w:w="110"/>
              <w:bottom w:type="dxa" w:w="70"/>
              <w:right w:type="dxa" w:w="110"/>
            </w:tcMar>
          </w:tcPr>
          <w:p>
            <w:pPr>
              <w:spacing w:after="0" w:line="252"/>
            </w:pPr>
            <w:r>
              <w:rPr>
                <w:b/>
                <w:bCs/>
                <w:color w:val="FFFFFF"/>
              </w:rPr>
              <w:t xml:space="preserve">Le message dit</w:t>
            </w:r>
          </w:p>
        </w:tc>
        <w:tc>
          <w:tcPr>
            <w:tcW w:type="dxa" w:w="3182"/>
            <w:shd w:fill="1F6F4A" w:val="clear"/>
            <w:tcMar>
              <w:top w:type="dxa" w:w="70"/>
              <w:left w:type="dxa" w:w="110"/>
              <w:bottom w:type="dxa" w:w="70"/>
              <w:right w:type="dxa" w:w="110"/>
            </w:tcMar>
          </w:tcPr>
          <w:p>
            <w:pPr>
              <w:spacing w:after="0" w:line="252"/>
            </w:pPr>
            <w:r>
              <w:rPr>
                <w:b/>
                <w:bCs/>
                <w:color w:val="FFFFFF"/>
              </w:rPr>
              <w:t xml:space="preserve">Ce qui se passe</w:t>
            </w:r>
          </w:p>
        </w:tc>
        <w:tc>
          <w:tcPr>
            <w:tcW w:type="dxa" w:w="3744"/>
            <w:shd w:fill="1F6F4A" w:val="clear"/>
            <w:tcMar>
              <w:top w:type="dxa" w:w="70"/>
              <w:left w:type="dxa" w:w="110"/>
              <w:bottom w:type="dxa" w:w="70"/>
              <w:right w:type="dxa" w:w="110"/>
            </w:tcMar>
          </w:tcPr>
          <w:p>
            <w:pPr>
              <w:spacing w:after="0" w:line="252"/>
            </w:pPr>
            <w:r>
              <w:rPr>
                <w:b/>
                <w:bCs/>
                <w:color w:val="FFFFFF"/>
              </w:rPr>
              <w:t xml:space="preserve">Le geste</w:t>
            </w:r>
          </w:p>
        </w:tc>
      </w:tr>
      <w:tr>
        <w:tc>
          <w:tcPr>
            <w:tcW w:type="dxa" w:w="2434"/>
            <w:shd w:fill="FFFFFF" w:val="clear"/>
            <w:tcMar>
              <w:top w:type="dxa" w:w="70"/>
              <w:left w:type="dxa" w:w="110"/>
              <w:bottom w:type="dxa" w:w="70"/>
              <w:right w:type="dxa" w:w="110"/>
            </w:tcMar>
          </w:tcPr>
          <w:p>
            <w:pPr>
              <w:spacing w:after="0" w:line="252"/>
            </w:pPr>
            <w:r>
              <w:rPr>
                <w:b/>
                <w:bCs/>
              </w:rPr>
              <w:t xml:space="preserve">Témoin à choisir</w:t>
            </w:r>
          </w:p>
        </w:tc>
        <w:tc>
          <w:tcPr>
            <w:tcW w:type="dxa" w:w="3182"/>
            <w:shd w:fill="FFFFFF" w:val="clear"/>
            <w:tcMar>
              <w:top w:type="dxa" w:w="70"/>
              <w:left w:type="dxa" w:w="110"/>
              <w:bottom w:type="dxa" w:w="70"/>
              <w:right w:type="dxa" w:w="110"/>
            </w:tcMar>
          </w:tcPr>
          <w:p>
            <w:pPr>
              <w:spacing w:after="0" w:line="252"/>
            </w:pPr>
            <w:r>
              <w:t xml:space="preserve">aucune référence désignée</w:t>
            </w:r>
          </w:p>
        </w:tc>
        <w:tc>
          <w:tcPr>
            <w:tcW w:type="dxa" w:w="3744"/>
            <w:shd w:fill="FFFFFF" w:val="clear"/>
            <w:tcMar>
              <w:top w:type="dxa" w:w="70"/>
              <w:left w:type="dxa" w:w="110"/>
              <w:bottom w:type="dxa" w:w="70"/>
              <w:right w:type="dxa" w:w="110"/>
            </w:tcMar>
          </w:tcPr>
          <w:p>
            <w:pPr>
              <w:spacing w:after="0" w:line="252"/>
            </w:pPr>
            <w:r>
              <w:t xml:space="preserve">désignez-la : devinée, elle donnerait des gains faux </w:t>
            </w:r>
            <w:r>
              <w:rPr>
                <w:i/>
                <w:iCs/>
              </w:rPr>
              <w:t xml:space="preserve">et</w:t>
            </w:r>
            <w:r>
              <w:t xml:space="preserve"> vraisemblables</w:t>
            </w:r>
          </w:p>
        </w:tc>
      </w:tr>
      <w:tr>
        <w:tc>
          <w:tcPr>
            <w:tcW w:type="dxa" w:w="2434"/>
            <w:shd w:fill="FFFFFF" w:val="clear"/>
            <w:tcMar>
              <w:top w:type="dxa" w:w="70"/>
              <w:left w:type="dxa" w:w="110"/>
              <w:bottom w:type="dxa" w:w="70"/>
              <w:right w:type="dxa" w:w="110"/>
            </w:tcMar>
          </w:tcPr>
          <w:p>
            <w:pPr>
              <w:spacing w:after="0" w:line="252"/>
            </w:pPr>
            <w:r>
              <w:rPr>
                <w:b/>
                <w:bCs/>
              </w:rPr>
              <w:t xml:space="preserve">Témoin de valeur nulle</w:t>
            </w:r>
          </w:p>
        </w:tc>
        <w:tc>
          <w:tcPr>
            <w:tcW w:type="dxa" w:w="3182"/>
            <w:shd w:fill="FFFFFF" w:val="clear"/>
            <w:tcMar>
              <w:top w:type="dxa" w:w="70"/>
              <w:left w:type="dxa" w:w="110"/>
              <w:bottom w:type="dxa" w:w="70"/>
              <w:right w:type="dxa" w:w="110"/>
            </w:tcMar>
          </w:tcPr>
          <w:p>
            <w:pPr>
              <w:spacing w:after="0" w:line="252"/>
            </w:pPr>
            <w:r>
              <w:t xml:space="preserve">la formule d'Abbott divise par zéro</w:t>
            </w:r>
          </w:p>
        </w:tc>
        <w:tc>
          <w:tcPr>
            <w:tcW w:type="dxa" w:w="3744"/>
            <w:shd w:fill="FFFFFF" w:val="clear"/>
            <w:tcMar>
              <w:top w:type="dxa" w:w="70"/>
              <w:left w:type="dxa" w:w="110"/>
              <w:bottom w:type="dxa" w:w="70"/>
              <w:right w:type="dxa" w:w="110"/>
            </w:tcMar>
          </w:tcPr>
          <w:p>
            <w:pPr>
              <w:spacing w:after="0" w:line="252"/>
            </w:pPr>
            <w:r>
              <w:t xml:space="preserve">le calcul rend </w:t>
            </w:r>
            <w:r>
              <w:rPr>
                <w:rFonts w:ascii="Consolas" w:cs="Consolas" w:eastAsia="Consolas" w:hAnsi="Consolas"/>
                <w:sz w:val="19"/>
                <w:szCs w:val="19"/>
              </w:rPr>
              <w:t xml:space="preserve">NA</w:t>
            </w:r>
            <w:r>
              <w:t xml:space="preserve">, jamais l'infini</w:t>
            </w:r>
          </w:p>
        </w:tc>
      </w:tr>
      <w:tr>
        <w:tc>
          <w:tcPr>
            <w:tcW w:type="dxa" w:w="2434"/>
            <w:shd w:fill="FFFFFF" w:val="clear"/>
            <w:tcMar>
              <w:top w:type="dxa" w:w="70"/>
              <w:left w:type="dxa" w:w="110"/>
              <w:bottom w:type="dxa" w:w="70"/>
              <w:right w:type="dxa" w:w="110"/>
            </w:tcMar>
          </w:tcPr>
          <w:p>
            <w:pPr>
              <w:spacing w:after="0" w:line="252"/>
            </w:pPr>
            <w:r>
              <w:rPr>
                <w:b/>
                <w:bCs/>
              </w:rPr>
              <w:t xml:space="preserve">Groupe sans témoin</w:t>
            </w:r>
          </w:p>
        </w:tc>
        <w:tc>
          <w:tcPr>
            <w:tcW w:type="dxa" w:w="3182"/>
            <w:shd w:fill="FFFFFF" w:val="clear"/>
            <w:tcMar>
              <w:top w:type="dxa" w:w="70"/>
              <w:left w:type="dxa" w:w="110"/>
              <w:bottom w:type="dxa" w:w="70"/>
              <w:right w:type="dxa" w:w="110"/>
            </w:tcMar>
          </w:tcPr>
          <w:p>
            <w:pPr>
              <w:spacing w:after="0" w:line="252"/>
            </w:pPr>
            <w:r>
              <w:t xml:space="preserve">défaut de </w:t>
            </w:r>
            <w:r>
              <w:rPr>
                <w:b/>
                <w:bCs/>
              </w:rPr>
              <w:t xml:space="preserve">plan</w:t>
            </w:r>
            <w:r>
              <w:t xml:space="preserve">, pas de mesure</w:t>
            </w:r>
          </w:p>
        </w:tc>
        <w:tc>
          <w:tcPr>
            <w:tcW w:type="dxa" w:w="3744"/>
            <w:shd w:fill="FFFFFF" w:val="clear"/>
            <w:tcMar>
              <w:top w:type="dxa" w:w="70"/>
              <w:left w:type="dxa" w:w="110"/>
              <w:bottom w:type="dxa" w:w="70"/>
              <w:right w:type="dxa" w:w="110"/>
            </w:tcMar>
          </w:tcPr>
          <w:p>
            <w:pPr>
              <w:spacing w:after="0" w:line="252"/>
            </w:pPr>
            <w:r>
              <w:t xml:space="preserve">le groupe fautif est nommé ; vérifiez la variable de groupement</w:t>
            </w:r>
          </w:p>
        </w:tc>
      </w:tr>
      <w:tr>
        <w:tc>
          <w:tcPr>
            <w:tcW w:type="dxa" w:w="2434"/>
            <w:shd w:fill="FFFFFF" w:val="clear"/>
            <w:tcMar>
              <w:top w:type="dxa" w:w="70"/>
              <w:left w:type="dxa" w:w="110"/>
              <w:bottom w:type="dxa" w:w="70"/>
              <w:right w:type="dxa" w:w="110"/>
            </w:tcMar>
          </w:tcPr>
          <w:p>
            <w:pPr>
              <w:spacing w:after="0" w:line="252"/>
            </w:pPr>
            <w:r>
              <w:rPr>
                <w:b/>
                <w:bCs/>
              </w:rPr>
              <w:t xml:space="preserve">Répétitions inégales</w:t>
            </w:r>
          </w:p>
        </w:tc>
        <w:tc>
          <w:tcPr>
            <w:tcW w:type="dxa" w:w="3182"/>
            <w:shd w:fill="FFFFFF" w:val="clear"/>
            <w:tcMar>
              <w:top w:type="dxa" w:w="70"/>
              <w:left w:type="dxa" w:w="110"/>
              <w:bottom w:type="dxa" w:w="70"/>
              <w:right w:type="dxa" w:w="110"/>
            </w:tcMar>
          </w:tcPr>
          <w:p>
            <w:pPr>
              <w:spacing w:after="0" w:line="252"/>
            </w:pPr>
            <w:r>
              <w:t xml:space="preserve">le cumulé n'est plus comparable</w:t>
            </w:r>
          </w:p>
        </w:tc>
        <w:tc>
          <w:tcPr>
            <w:tcW w:type="dxa" w:w="3744"/>
            <w:shd w:fill="FFFFFF" w:val="clear"/>
            <w:tcMar>
              <w:top w:type="dxa" w:w="70"/>
              <w:left w:type="dxa" w:w="110"/>
              <w:bottom w:type="dxa" w:w="70"/>
              <w:right w:type="dxa" w:w="110"/>
            </w:tcMar>
          </w:tcPr>
          <w:p>
            <w:pPr>
              <w:spacing w:after="0" w:line="252"/>
            </w:pPr>
            <w:r>
              <w:t xml:space="preserve">lisez le moyen, ou le global</w:t>
            </w:r>
          </w:p>
        </w:tc>
      </w:tr>
      <w:tr>
        <w:tc>
          <w:tcPr>
            <w:tcW w:type="dxa" w:w="2434"/>
            <w:shd w:fill="FFFFFF" w:val="clear"/>
            <w:tcMar>
              <w:top w:type="dxa" w:w="70"/>
              <w:left w:type="dxa" w:w="110"/>
              <w:bottom w:type="dxa" w:w="70"/>
              <w:right w:type="dxa" w:w="110"/>
            </w:tcMar>
          </w:tcPr>
          <w:p>
            <w:pPr>
              <w:spacing w:after="0" w:line="252"/>
            </w:pPr>
            <w:r>
              <w:rPr>
                <w:b/>
                <w:bCs/>
              </w:rPr>
              <w:t xml:space="preserve">Moins de trois doses</w:t>
            </w:r>
          </w:p>
        </w:tc>
        <w:tc>
          <w:tcPr>
            <w:tcW w:type="dxa" w:w="3182"/>
            <w:shd w:fill="FFFFFF" w:val="clear"/>
            <w:tcMar>
              <w:top w:type="dxa" w:w="70"/>
              <w:left w:type="dxa" w:w="110"/>
              <w:bottom w:type="dxa" w:w="70"/>
              <w:right w:type="dxa" w:w="110"/>
            </w:tcMar>
          </w:tcPr>
          <w:p>
            <w:pPr>
              <w:spacing w:after="0" w:line="252"/>
            </w:pPr>
            <w:r>
              <w:t xml:space="preserve">la régression probit n'a pas de quoi s'ajuster</w:t>
            </w:r>
          </w:p>
        </w:tc>
        <w:tc>
          <w:tcPr>
            <w:tcW w:type="dxa" w:w="3744"/>
            <w:shd w:fill="FFFFFF" w:val="clear"/>
            <w:tcMar>
              <w:top w:type="dxa" w:w="70"/>
              <w:left w:type="dxa" w:w="110"/>
              <w:bottom w:type="dxa" w:w="70"/>
              <w:right w:type="dxa" w:w="110"/>
            </w:tcMar>
          </w:tcPr>
          <w:p>
            <w:pPr>
              <w:spacing w:after="0" w:line="252"/>
            </w:pPr>
            <w:r>
              <w:t xml:space="preserve">c'est la limite de WIN DL, reprise telle quelle</w:t>
            </w:r>
          </w:p>
        </w:tc>
      </w:tr>
      <w:tr>
        <w:tc>
          <w:tcPr>
            <w:tcW w:type="dxa" w:w="2434"/>
            <w:shd w:fill="FFFFFF" w:val="clear"/>
            <w:tcMar>
              <w:top w:type="dxa" w:w="70"/>
              <w:left w:type="dxa" w:w="110"/>
              <w:bottom w:type="dxa" w:w="70"/>
              <w:right w:type="dxa" w:w="110"/>
            </w:tcMar>
          </w:tcPr>
          <w:p>
            <w:pPr>
              <w:spacing w:after="0" w:line="252"/>
            </w:pPr>
            <w:r>
              <w:rPr>
                <w:b/>
                <w:bCs/>
              </w:rPr>
              <w:t xml:space="preserve">Pente négative</w:t>
            </w:r>
          </w:p>
        </w:tc>
        <w:tc>
          <w:tcPr>
            <w:tcW w:type="dxa" w:w="3182"/>
            <w:shd w:fill="FFFFFF" w:val="clear"/>
            <w:tcMar>
              <w:top w:type="dxa" w:w="70"/>
              <w:left w:type="dxa" w:w="110"/>
              <w:bottom w:type="dxa" w:w="70"/>
              <w:right w:type="dxa" w:w="110"/>
            </w:tcMar>
          </w:tcPr>
          <w:p>
            <w:pPr>
              <w:spacing w:after="0" w:line="252"/>
            </w:pPr>
            <w:r>
              <w:t xml:space="preserve">deux colonnes probablement inversées</w:t>
            </w:r>
          </w:p>
        </w:tc>
        <w:tc>
          <w:tcPr>
            <w:tcW w:type="dxa" w:w="3744"/>
            <w:shd w:fill="FFFFFF" w:val="clear"/>
            <w:tcMar>
              <w:top w:type="dxa" w:w="70"/>
              <w:left w:type="dxa" w:w="110"/>
              <w:bottom w:type="dxa" w:w="70"/>
              <w:right w:type="dxa" w:w="110"/>
            </w:tcMar>
          </w:tcPr>
          <w:p>
            <w:pPr>
              <w:spacing w:after="0" w:line="252"/>
            </w:pPr>
            <w:r>
              <w:t xml:space="preserve">la DL10 vaudrait mille fois la DL90</w:t>
            </w:r>
          </w:p>
        </w:tc>
      </w:tr>
      <w:tr>
        <w:tc>
          <w:tcPr>
            <w:tcW w:type="dxa" w:w="2434"/>
            <w:shd w:fill="FFFFFF" w:val="clear"/>
            <w:tcMar>
              <w:top w:type="dxa" w:w="70"/>
              <w:left w:type="dxa" w:w="110"/>
              <w:bottom w:type="dxa" w:w="70"/>
              <w:right w:type="dxa" w:w="110"/>
            </w:tcMar>
          </w:tcPr>
          <w:p>
            <w:pPr>
              <w:spacing w:after="0" w:line="252"/>
            </w:pPr>
            <w:r>
              <w:rPr>
                <w:b/>
                <w:bCs/>
              </w:rPr>
              <w:t xml:space="preserve">Variance nulle</w:t>
            </w:r>
          </w:p>
        </w:tc>
        <w:tc>
          <w:tcPr>
            <w:tcW w:type="dxa" w:w="3182"/>
            <w:shd w:fill="FFFFFF" w:val="clear"/>
            <w:tcMar>
              <w:top w:type="dxa" w:w="70"/>
              <w:left w:type="dxa" w:w="110"/>
              <w:bottom w:type="dxa" w:w="70"/>
              <w:right w:type="dxa" w:w="110"/>
            </w:tcMar>
          </w:tcPr>
          <w:p>
            <w:pPr>
              <w:spacing w:after="0" w:line="252"/>
            </w:pPr>
            <w:r>
              <w:t xml:space="preserve">toutes les valeurs sont identiques</w:t>
            </w:r>
          </w:p>
        </w:tc>
        <w:tc>
          <w:tcPr>
            <w:tcW w:type="dxa" w:w="3744"/>
            <w:shd w:fill="FFFFFF" w:val="clear"/>
            <w:tcMar>
              <w:top w:type="dxa" w:w="70"/>
              <w:left w:type="dxa" w:w="110"/>
              <w:bottom w:type="dxa" w:w="70"/>
              <w:right w:type="dxa" w:w="110"/>
            </w:tcMar>
          </w:tcPr>
          <w:p>
            <w:pPr>
              <w:spacing w:after="0" w:line="252"/>
            </w:pPr>
            <w:r>
              <w:t xml:space="preserve">choisissez une autre variable</w:t>
            </w:r>
          </w:p>
        </w:tc>
      </w:tr>
      <w:tr>
        <w:tc>
          <w:tcPr>
            <w:tcW w:type="dxa" w:w="2434"/>
            <w:shd w:fill="FFFFFF" w:val="clear"/>
            <w:tcMar>
              <w:top w:type="dxa" w:w="70"/>
              <w:left w:type="dxa" w:w="110"/>
              <w:bottom w:type="dxa" w:w="70"/>
              <w:right w:type="dxa" w:w="110"/>
            </w:tcMar>
          </w:tcPr>
          <w:p>
            <w:pPr>
              <w:spacing w:after="0" w:line="252"/>
            </w:pPr>
            <w:r>
              <w:rPr>
                <w:b/>
                <w:bCs/>
              </w:rPr>
              <w:t xml:space="preserve">Matrice singulière</w:t>
            </w:r>
          </w:p>
        </w:tc>
        <w:tc>
          <w:tcPr>
            <w:tcW w:type="dxa" w:w="3182"/>
            <w:shd w:fill="FFFFFF" w:val="clear"/>
            <w:tcMar>
              <w:top w:type="dxa" w:w="70"/>
              <w:left w:type="dxa" w:w="110"/>
              <w:bottom w:type="dxa" w:w="70"/>
              <w:right w:type="dxa" w:w="110"/>
            </w:tcMar>
          </w:tcPr>
          <w:p>
            <w:pPr>
              <w:spacing w:after="0" w:line="252"/>
            </w:pPr>
            <w:r>
              <w:t xml:space="preserve">vraie colinéarité</w:t>
            </w:r>
          </w:p>
        </w:tc>
        <w:tc>
          <w:tcPr>
            <w:tcW w:type="dxa" w:w="3744"/>
            <w:shd w:fill="FFFFFF" w:val="clear"/>
            <w:tcMar>
              <w:top w:type="dxa" w:w="70"/>
              <w:left w:type="dxa" w:w="110"/>
              <w:bottom w:type="dxa" w:w="70"/>
              <w:right w:type="dxa" w:w="110"/>
            </w:tcMar>
          </w:tcPr>
          <w:p>
            <w:pPr>
              <w:spacing w:after="0" w:line="252"/>
            </w:pPr>
            <w:r>
              <w:t xml:space="preserve">retirez une variable redondante</w:t>
            </w:r>
          </w:p>
        </w:tc>
      </w:tr>
      <w:tr>
        <w:tc>
          <w:tcPr>
            <w:tcW w:type="dxa" w:w="2434"/>
            <w:shd w:fill="FFFFFF" w:val="clear"/>
            <w:tcMar>
              <w:top w:type="dxa" w:w="70"/>
              <w:left w:type="dxa" w:w="110"/>
              <w:bottom w:type="dxa" w:w="70"/>
              <w:right w:type="dxa" w:w="110"/>
            </w:tcMar>
          </w:tcPr>
          <w:p>
            <w:pPr>
              <w:spacing w:after="0" w:line="252"/>
            </w:pPr>
            <w:r>
              <w:rPr>
                <w:b/>
                <w:bCs/>
              </w:rPr>
              <w:t xml:space="preserve">Unité inconnue</w:t>
            </w:r>
          </w:p>
        </w:tc>
        <w:tc>
          <w:tcPr>
            <w:tcW w:type="dxa" w:w="3182"/>
            <w:shd w:fill="FFFFFF" w:val="clear"/>
            <w:tcMar>
              <w:top w:type="dxa" w:w="70"/>
              <w:left w:type="dxa" w:w="110"/>
              <w:bottom w:type="dxa" w:w="70"/>
              <w:right w:type="dxa" w:w="110"/>
            </w:tcMar>
          </w:tcPr>
          <w:p>
            <w:pPr>
              <w:spacing w:after="0" w:line="252"/>
            </w:pPr>
            <w:r>
              <w:t xml:space="preserve">un facteur muet vaudrait 1</w:t>
            </w:r>
          </w:p>
        </w:tc>
        <w:tc>
          <w:tcPr>
            <w:tcW w:type="dxa" w:w="3744"/>
            <w:shd w:fill="FFFFFF" w:val="clear"/>
            <w:tcMar>
              <w:top w:type="dxa" w:w="70"/>
              <w:left w:type="dxa" w:w="110"/>
              <w:bottom w:type="dxa" w:w="70"/>
              <w:right w:type="dxa" w:w="110"/>
            </w:tcMar>
          </w:tcPr>
          <w:p>
            <w:pPr>
              <w:spacing w:after="0" w:line="252"/>
            </w:pPr>
            <w:r>
              <w:t xml:space="preserve">une dose mille fois trop grande partirait au champ</w:t>
            </w:r>
          </w:p>
        </w:tc>
      </w:tr>
    </w:tbl>
    <w:p>
      <w:pPr>
        <w:spacing w:after="120"/>
      </w:pPr>
    </w:p>
    <w:p>
      <w:pPr>
        <w:pStyle w:val="Heading2"/>
        <w:spacing w:after="140" w:before="280"/>
      </w:pPr>
      <w:r>
        <w:t xml:space="preserve">Deux nuances utiles</w:t>
      </w:r>
    </w:p>
    <w:p>
      <w:pPr>
        <w:spacing w:after="120" w:line="276"/>
      </w:pPr>
      <w:r>
        <w:rPr>
          <w:b/>
          <w:bCs/>
        </w:rPr>
        <w:t xml:space="preserve">`NA` n'est pas une panne.</w:t>
      </w:r>
      <w:r>
        <w:t xml:space="preserve"> Quand une statistique n'est pas calculable — kappa dont le dénominateur s'annule, équitabilité d'un peuplement monospécifique, écart-type sur une seule répétition — l'application rend </w:t>
      </w:r>
      <w:r>
        <w:rPr>
          <w:rFonts w:ascii="Consolas" w:cs="Consolas" w:eastAsia="Consolas" w:hAnsi="Consolas"/>
          <w:sz w:val="19"/>
          <w:szCs w:val="19"/>
        </w:rPr>
        <w:t xml:space="preserve">NA</w:t>
      </w:r>
      <w:r>
        <w:t xml:space="preserve"> </w:t>
      </w:r>
      <w:r>
        <w:rPr>
          <w:b/>
          <w:bCs/>
        </w:rPr>
        <w:t xml:space="preserve">et le dit</w:t>
      </w:r>
      <w:r>
        <w:t xml:space="preserve">, plutôt qu'un zéro qui se lirait comme un résultat (« aucune variabilité », « partition indifférente »).</w:t>
      </w:r>
    </w:p>
    <w:p>
      <w:pPr>
        <w:spacing w:after="120" w:line="276"/>
      </w:pPr>
      <w:r>
        <w:rPr>
          <w:b/>
          <w:bCs/>
        </w:rPr>
        <w:t xml:space="preserve">Une valeur négative est un résultat</w:t>
      </w:r>
      <w:r>
        <w:t xml:space="preserve">, jamais une erreur : une efficacité, un gain, une perte négatifs disent que la modalité fait moins bien que sa référence. Rien n'est borné à zéro — ce serait masquer précisément ce qu'il faut voir. Les axes vont donc aussi loin dans le négatif que dans le positif, et un trait de référence marque le zéro.</w:t>
      </w:r>
    </w:p>
    <w:p>
      <w:pPr>
        <w:pStyle w:val="Heading2"/>
        <w:spacing w:after="140" w:before="280"/>
      </w:pPr>
      <w:r>
        <w:t xml:space="preserve">Ce qui disparaît est nommé</w:t>
      </w:r>
    </w:p>
    <w:p>
      <w:pPr>
        <w:spacing w:after="120" w:line="276"/>
      </w:pPr>
      <w:r>
        <w:t xml:space="preserve">Quand une ligne, une barre ou un niveau quitte un tableau ou une figure, l'application le </w:t>
      </w:r>
      <w:r>
        <w:rPr>
          <w:b/>
          <w:bCs/>
        </w:rPr>
        <w:t xml:space="preserve">compte et le nomme</w:t>
      </w:r>
      <w:r>
        <w:t xml:space="preserve"> : lignes à surface nulle, modalités masquées sur une figure, barres hors des limites d'axe, feuilles Excel illisibles, niveaux écartés d'un post-hoc, seuils de dose hors de l'intervalle ouvert 0–100.</w:t>
      </w:r>
    </w:p>
    <w:p>
      <w:pPr>
        <w:spacing w:after="120" w:line="276"/>
      </w:pPr>
      <w:r>
        <w:t xml:space="preserve">Ce n'est pas de la politesse. Une figure à laquelle il manque une modalité, sans rien qui le dise, se lit comme un essai qui n'en comptait pas davantage — et c'est cette figure-là qui part au rapport.</w:t>
      </w:r>
    </w:p>
    <w:p>
      <w:pPr>
        <w:pStyle w:val="Heading2"/>
        <w:spacing w:after="140" w:before="280"/>
      </w:pPr>
      <w:r>
        <w:t xml:space="preserve">Les messages d'erreur de R sont traduits</w:t>
      </w:r>
    </w:p>
    <w:p>
      <w:pPr>
        <w:spacing w:after="120" w:line="276"/>
      </w:pPr>
      <w:r>
        <w:t xml:space="preserve">Avec la </w:t>
      </w:r>
      <w:r>
        <w:rPr>
          <w:b/>
          <w:bCs/>
        </w:rPr>
        <w:t xml:space="preserve">cause puis le geste</w:t>
      </w:r>
      <w:r>
        <w:t xml:space="preserve"> : « variance nulle » ne suffit pas, il faut « toutes les valeurs sont identiques, choisissez une autre variable ». Le message R d'origine survit </w:t>
      </w:r>
      <w:r>
        <w:rPr>
          <w:b/>
          <w:bCs/>
        </w:rPr>
        <w:t xml:space="preserve">entre parenthèses</w:t>
      </w:r>
      <w:r>
        <w:t xml:space="preserve"> — sans lui, qui demande de l'aide n'a plus rien à montrer. Une erreur non reconnue est annoncée comme </w:t>
      </w:r>
      <w:r>
        <w:rPr>
          <w:b/>
          <w:bCs/>
        </w:rPr>
        <w:t xml:space="preserve">non traduite</w:t>
      </w:r>
      <w:r>
        <w:t xml:space="preserve"> plutôt que maquillée en phrase française.</w:t>
      </w:r>
    </w:p>
    <w:p>
      <w:pPr>
        <w:spacing w:after="120" w:line="276"/>
      </w:pPr>
      <w:r>
        <w:t xml:space="preserve">Un paquet manquant donne la </w:t>
      </w:r>
      <w:r>
        <w:rPr>
          <w:b/>
          <w:bCs/>
        </w:rPr>
        <w:t xml:space="preserve">commande d'installation</w:t>
      </w:r>
      <w:r>
        <w:t xml:space="preserve"> </w:t>
      </w:r>
      <w:r>
        <w:rPr>
          <w:i/>
          <w:iCs/>
        </w:rPr>
        <w:t xml:space="preserve">et</w:t>
      </w:r>
      <w:r>
        <w:t xml:space="preserve"> une analyse de repli déjà disponible — « Package 'klaR' indisponible » était une impasse.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HStat 1.3.1 — Guide d'utilisation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6F4A"/>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C3E5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HStat — Guide d'utilisation</dc:title>
  <dc:creator>HStat</dc:creator>
  <dc:description>Guide d'utilisation de l'application HStat, version 1.3.1</dc:description>
  <cp:lastModifiedBy>Un-named</cp:lastModifiedBy>
  <cp:revision>1</cp:revision>
  <dcterms:created xsi:type="dcterms:W3CDTF">2026-09-18T17:21:53.626Z</dcterms:created>
  <dcterms:modified xsi:type="dcterms:W3CDTF">2026-09-18T17:21:53.626Z</dcterms:modified>
</cp:coreProperties>
</file>

<file path=docProps/custom.xml><?xml version="1.0" encoding="utf-8"?>
<Properties xmlns="http://schemas.openxmlformats.org/officeDocument/2006/custom-properties" xmlns:vt="http://schemas.openxmlformats.org/officeDocument/2006/docPropsVTypes"/>
</file>