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1E4FA36A" w14:textId="77777777" w:rsidR="00497F44" w:rsidRPr="00484CEC" w:rsidRDefault="007154B1" w:rsidP="007154B1">
      <w:pPr>
        <w:ind w:left="397" w:right="397"/>
        <w:jc w:val="center"/>
        <w:rPr>
          <w:rFonts w:ascii="Helvetica" w:hAnsi="Helvetica"/>
          <w:b/>
          <w:color w:val="auto"/>
        </w:rPr>
      </w:pPr>
      <w:r w:rsidRPr="007154B1">
        <w:rPr>
          <w:rFonts w:ascii="Helvetica" w:hAnsi="Helvetica"/>
          <w:b/>
          <w:color w:val="auto"/>
        </w:rPr>
        <w:t>GIORGIO ARMANI EYEWEAR 2013</w:t>
      </w:r>
    </w:p>
    <w:p w14:paraId="703CEA6E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6BFA5E64" w14:textId="77777777" w:rsidR="00497F44" w:rsidRPr="00484CEC" w:rsidRDefault="00497F44" w:rsidP="000D66F5">
      <w:pPr>
        <w:ind w:left="397" w:right="397"/>
        <w:jc w:val="center"/>
        <w:rPr>
          <w:rFonts w:ascii="Helvetica" w:hAnsi="Helvetica"/>
          <w:b/>
          <w:color w:val="auto"/>
        </w:rPr>
      </w:pPr>
      <w:r w:rsidRPr="00484CEC">
        <w:rPr>
          <w:rFonts w:ascii="Helvetica" w:hAnsi="Helvetica"/>
          <w:b/>
          <w:color w:val="auto"/>
        </w:rPr>
        <w:t xml:space="preserve">LA NUOVA CAMPAGNA </w:t>
      </w:r>
      <w:r w:rsidRPr="00484CEC">
        <w:rPr>
          <w:rFonts w:ascii="Helvetica" w:hAnsi="Helvetica"/>
          <w:b/>
          <w:i/>
          <w:color w:val="auto"/>
        </w:rPr>
        <w:t>FRAMES OF LIFE</w:t>
      </w:r>
      <w:r w:rsidRPr="00484CEC">
        <w:rPr>
          <w:rFonts w:ascii="Helvetica" w:hAnsi="Helvetica"/>
          <w:b/>
          <w:color w:val="auto"/>
        </w:rPr>
        <w:t>:</w:t>
      </w:r>
    </w:p>
    <w:p w14:paraId="7F0419D6" w14:textId="77777777" w:rsidR="00B6746B" w:rsidRPr="00484CEC" w:rsidRDefault="00747386" w:rsidP="000D66F5">
      <w:pPr>
        <w:ind w:left="397" w:right="397"/>
        <w:jc w:val="center"/>
        <w:rPr>
          <w:rFonts w:ascii="Helvetica" w:hAnsi="Helvetica"/>
          <w:b/>
          <w:color w:val="auto"/>
        </w:rPr>
      </w:pPr>
      <w:r w:rsidRPr="00484CEC">
        <w:rPr>
          <w:rFonts w:ascii="Helvetica" w:hAnsi="Helvetica"/>
          <w:b/>
          <w:color w:val="auto"/>
        </w:rPr>
        <w:t xml:space="preserve">RITRATTI SENZA TEMPO RACCONTANO PERSONALITÀ </w:t>
      </w:r>
      <w:r w:rsidR="00497F44" w:rsidRPr="00484CEC">
        <w:rPr>
          <w:rFonts w:ascii="Helvetica" w:hAnsi="Helvetica"/>
          <w:b/>
          <w:color w:val="auto"/>
        </w:rPr>
        <w:t>CONTEMPORANEE</w:t>
      </w:r>
    </w:p>
    <w:p w14:paraId="5B601C27" w14:textId="77777777" w:rsidR="00424002" w:rsidRPr="00484CEC" w:rsidRDefault="00424002" w:rsidP="000D66F5">
      <w:pPr>
        <w:ind w:left="397" w:right="397"/>
        <w:jc w:val="center"/>
        <w:rPr>
          <w:rFonts w:ascii="Helvetica" w:hAnsi="Helvetica"/>
          <w:color w:val="auto"/>
        </w:rPr>
      </w:pPr>
    </w:p>
    <w:p w14:paraId="1124F649" w14:textId="77777777" w:rsidR="000D4ECB" w:rsidRPr="00484CEC" w:rsidRDefault="000D4ECB" w:rsidP="000D66F5">
      <w:pPr>
        <w:ind w:left="397" w:right="397"/>
        <w:jc w:val="both"/>
        <w:rPr>
          <w:rFonts w:ascii="Helvetica" w:hAnsi="Helvetica"/>
          <w:i/>
          <w:color w:val="auto"/>
          <w:sz w:val="20"/>
          <w:szCs w:val="20"/>
        </w:rPr>
      </w:pPr>
    </w:p>
    <w:p w14:paraId="52091A7F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, la campagna </w:t>
      </w:r>
      <w:proofErr w:type="spellStart"/>
      <w:r w:rsidRPr="007154B1">
        <w:rPr>
          <w:rFonts w:ascii="Helvetica" w:hAnsi="Helvetica"/>
          <w:color w:val="auto"/>
          <w:sz w:val="20"/>
          <w:szCs w:val="20"/>
        </w:rPr>
        <w:t>eyewear</w:t>
      </w:r>
      <w:proofErr w:type="spellEnd"/>
      <w:r w:rsidRPr="007154B1">
        <w:rPr>
          <w:rFonts w:ascii="Helvetica" w:hAnsi="Helvetica"/>
          <w:color w:val="auto"/>
          <w:sz w:val="20"/>
          <w:szCs w:val="20"/>
        </w:rPr>
        <w:t xml:space="preserve"> nata nel 2010, torna on stage. E il frame questa volta è un caffè nella piazza di una grande città, un 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>luogo dove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 xml:space="preserve"> converge un incessante flusso di persone: tante storie, tutte diverse e irripetibili, che si intrecciano e danno vita a un nuovo racconto narrativo.</w:t>
      </w:r>
    </w:p>
    <w:p w14:paraId="424A5B05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3992A356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I protagonisti di questi ‘ritratti di vita’ sono: </w:t>
      </w:r>
      <w:proofErr w:type="spellStart"/>
      <w:r w:rsidRPr="007154B1">
        <w:rPr>
          <w:rFonts w:ascii="Helvetica" w:hAnsi="Helvetica"/>
          <w:color w:val="auto"/>
          <w:sz w:val="20"/>
          <w:szCs w:val="20"/>
        </w:rPr>
        <w:t>Luc</w:t>
      </w:r>
      <w:proofErr w:type="spellEnd"/>
      <w:r w:rsidRPr="007154B1">
        <w:rPr>
          <w:rFonts w:ascii="Helvetica" w:hAnsi="Helvetica"/>
          <w:color w:val="auto"/>
          <w:sz w:val="20"/>
          <w:szCs w:val="20"/>
        </w:rPr>
        <w:t xml:space="preserve">, uno scrittore che vede pubblicare la sua prima opera; Carlos, un giovane barman con la passione per il cinema; Nina, violoncellista alla ricerca del suo primo ingaggio; Lucille e Adrian, giovani architetti di successo. 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 xml:space="preserve">Si 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 xml:space="preserve">incrociano, così, emozioni, storie e aspettative differenti, tutte con un elemento in comune: la scelta di indossare occhiali </w:t>
      </w: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. Ogni foto è uno sguardo che cattura il personaggio in un momento di vita vera, lasciando trasparire la sua personalità e la sua storia. </w:t>
      </w:r>
    </w:p>
    <w:p w14:paraId="4990EFE3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584FA28B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Gli occhiali diventano il dettaglio rivelatore che non sovrasta, bensì 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>sottolinea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 xml:space="preserve"> con stile il carattere di ogni protagonista. Rappresentano un design senza tempo, che attinge alle forme iconiche dello stile Giorgio Armani e le attualizza con materiali e colori nuovi, dettagli artigianali e innovative soluzioni tecnologiche.</w:t>
      </w:r>
    </w:p>
    <w:p w14:paraId="021B887D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754FDCA7" w14:textId="77777777" w:rsidR="001321FB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La nuova campagna </w:t>
      </w: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 sarà raccontata, oltre che sulla stampa e su www.</w:t>
      </w:r>
      <w:r w:rsidRPr="007154B1">
        <w:rPr>
          <w:rFonts w:ascii="Helvetica" w:hAnsi="Helvetica" w:cs="Helv"/>
          <w:color w:val="000000"/>
          <w:sz w:val="20"/>
          <w:szCs w:val="20"/>
        </w:rPr>
        <w:t>framesoflife.com</w:t>
      </w:r>
      <w:r w:rsidRPr="007154B1">
        <w:rPr>
          <w:rFonts w:ascii="Helvetica" w:hAnsi="Helvetica"/>
          <w:color w:val="auto"/>
          <w:sz w:val="20"/>
          <w:szCs w:val="20"/>
        </w:rPr>
        <w:t xml:space="preserve">, attraverso cortometraggi dedicati a ogni personaggio, che 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>verranno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 xml:space="preserve"> svelati di volta in volta sul sito internet e sui social media.</w:t>
      </w:r>
    </w:p>
    <w:p w14:paraId="13D0EA2F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50B4CCB0" w14:textId="77777777" w:rsidR="00EC5A68" w:rsidRPr="007154B1" w:rsidRDefault="00EC5A6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31D5DF2" w14:textId="77777777" w:rsidR="00484CEC" w:rsidRPr="007154B1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58A9D6DE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LUC - AR5004RT</w:t>
      </w:r>
    </w:p>
    <w:p w14:paraId="06A4E735" w14:textId="77777777" w:rsidR="00F13028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Lo scrittore indossa un modello da vista in titanio ultraleggero, con aste sottili e inconfondibile terminale a riccio. La calzata è perfetta grazie alla cerniera dal design esclusivo, ricavata senza viti e brevettata in esclusiva per Giorgio Armani. La forma delle lenti è tondeggiante e la montatura, essenziale, sembra svanire una volta indossata. Il logo </w:t>
      </w: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 è inciso a laser all’interno dell’asta. Disponibile 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>nei colori nero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>, oro, bronzo, con finitura opaca</w:t>
      </w:r>
      <w:r w:rsidRPr="007154B1">
        <w:rPr>
          <w:rFonts w:ascii="Helvetica" w:hAnsi="Helvetica"/>
          <w:color w:val="auto"/>
          <w:sz w:val="20"/>
          <w:szCs w:val="20"/>
        </w:rPr>
        <w:t>.</w:t>
      </w:r>
      <w:r w:rsidR="00F13028" w:rsidRPr="007154B1">
        <w:rPr>
          <w:rFonts w:ascii="Helvetica" w:hAnsi="Helvetica"/>
          <w:color w:val="auto"/>
          <w:sz w:val="20"/>
          <w:szCs w:val="20"/>
        </w:rPr>
        <w:t xml:space="preserve">  </w:t>
      </w:r>
    </w:p>
    <w:p w14:paraId="7F468696" w14:textId="77777777" w:rsidR="00F13028" w:rsidRPr="007154B1" w:rsidRDefault="00F13028" w:rsidP="007154B1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FA61A62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324EFF0A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NINA - AR8017RZ</w:t>
      </w:r>
    </w:p>
    <w:p w14:paraId="1B9AE984" w14:textId="77777777" w:rsidR="00C17B23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La violoncellista indossa un occhiale dal carattere forte e deciso, dall’impronta retrò, che cela particolari tecnologici all’avanguardia e una 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>sofisticata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 xml:space="preserve"> ricerca dei materiali. Sottili e flessibili aste in titanio sorreggono il frontale in acetato, arricchito da uno spoiler in nappa morbidissima effetto invecchiato. Il logo </w:t>
      </w: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 è inciso a laser all’interno dell’asta. Tra le varianti di colore: nero con spoiler 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>in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 xml:space="preserve"> pelle grigia, verde oliva con spoiler in pelle marrone e avana screziato con spoiler in pelle nera</w:t>
      </w:r>
      <w:r w:rsidRPr="007154B1">
        <w:rPr>
          <w:rFonts w:ascii="Helvetica" w:hAnsi="Helvetica"/>
          <w:color w:val="auto"/>
          <w:sz w:val="20"/>
          <w:szCs w:val="20"/>
        </w:rPr>
        <w:t>.</w:t>
      </w:r>
    </w:p>
    <w:p w14:paraId="20FD405A" w14:textId="77777777" w:rsidR="00AC4918" w:rsidRPr="007154B1" w:rsidRDefault="00AC4918" w:rsidP="007154B1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2E9A768B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036E6DD9" w14:textId="77777777" w:rsidR="00AD5D43" w:rsidRPr="00484CEC" w:rsidRDefault="00AD5D43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CARLOS - AR7010</w:t>
      </w:r>
    </w:p>
    <w:p w14:paraId="3E78D8BA" w14:textId="77777777" w:rsidR="00C17B23" w:rsidRPr="007154B1" w:rsidRDefault="007154B1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Il giovane barman sceglie un occhiale dal sapore vintage, attualizzato dall’accostamento fra il frontale in acetato e le sottili aste in titanio. Le aste sono fissate al frontale grazie alla cerniera senza saldature, dal design esclusivo, brevettata per Giorgio Armani. Il logo </w:t>
      </w: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 è inciso a laser all’interno dell’asta.</w:t>
      </w:r>
      <w:r>
        <w:rPr>
          <w:rFonts w:ascii="Helvetica" w:hAnsi="Helvetica"/>
          <w:color w:val="auto"/>
          <w:sz w:val="20"/>
          <w:szCs w:val="20"/>
        </w:rPr>
        <w:t xml:space="preserve"> </w:t>
      </w:r>
      <w:r w:rsidRPr="007154B1">
        <w:rPr>
          <w:rFonts w:ascii="Helvetica" w:hAnsi="Helvetica"/>
          <w:color w:val="auto"/>
          <w:sz w:val="20"/>
          <w:szCs w:val="20"/>
        </w:rPr>
        <w:t>Il modello, unisex, è proposto in cinque classiche varianti di colore, fra cui l’avana blu e l’</w:t>
      </w:r>
      <w:proofErr w:type="gramStart"/>
      <w:r w:rsidRPr="007154B1">
        <w:rPr>
          <w:rFonts w:ascii="Helvetica" w:hAnsi="Helvetica"/>
          <w:color w:val="auto"/>
          <w:sz w:val="20"/>
          <w:szCs w:val="20"/>
        </w:rPr>
        <w:t>avana</w:t>
      </w:r>
      <w:proofErr w:type="gramEnd"/>
      <w:r w:rsidRPr="007154B1">
        <w:rPr>
          <w:rFonts w:ascii="Helvetica" w:hAnsi="Helvetica"/>
          <w:color w:val="auto"/>
          <w:sz w:val="20"/>
          <w:szCs w:val="20"/>
        </w:rPr>
        <w:t xml:space="preserve"> </w:t>
      </w:r>
      <w:r w:rsidRPr="007154B1">
        <w:rPr>
          <w:rFonts w:ascii="Helvetica" w:hAnsi="Helvetica"/>
          <w:color w:val="auto"/>
          <w:sz w:val="20"/>
          <w:szCs w:val="20"/>
        </w:rPr>
        <w:t>chiaro</w:t>
      </w:r>
      <w:r w:rsidR="00F66FD2" w:rsidRPr="007154B1">
        <w:rPr>
          <w:rFonts w:ascii="Helvetica" w:hAnsi="Helvetica"/>
          <w:color w:val="auto"/>
          <w:sz w:val="20"/>
          <w:szCs w:val="20"/>
        </w:rPr>
        <w:t>.</w:t>
      </w:r>
      <w:r w:rsidR="00C17B23" w:rsidRPr="007154B1">
        <w:rPr>
          <w:rFonts w:ascii="Helvetica" w:hAnsi="Helvetica"/>
          <w:color w:val="auto"/>
          <w:sz w:val="20"/>
          <w:szCs w:val="20"/>
        </w:rPr>
        <w:t xml:space="preserve"> </w:t>
      </w:r>
    </w:p>
    <w:p w14:paraId="3D1F2891" w14:textId="77777777" w:rsidR="000D66F5" w:rsidRPr="007154B1" w:rsidRDefault="000D66F5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6F642A13" w14:textId="77777777" w:rsidR="00484CEC" w:rsidRDefault="00484CEC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70AF0E37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ADRIAN - AR8007</w:t>
      </w:r>
    </w:p>
    <w:p w14:paraId="06C142CE" w14:textId="77777777" w:rsidR="00F13028" w:rsidRPr="007154B1" w:rsidRDefault="007154B1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L’architetto sceglie un occhiale costruito e ricercato, con dettagli dall’impronta fortemente retrò, come il caratteristico doppio ponte in metallo e i rivetti, anch’essi metallici. Il logo </w:t>
      </w: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 è inciso a laser all’interno dell’asta. Tutti i colori presentano una particolare lavorazione dell’acetato che assume una </w:t>
      </w:r>
      <w:proofErr w:type="spellStart"/>
      <w:r w:rsidRPr="007154B1">
        <w:rPr>
          <w:rFonts w:ascii="Helvetica" w:hAnsi="Helvetica"/>
          <w:color w:val="auto"/>
          <w:sz w:val="20"/>
          <w:szCs w:val="20"/>
        </w:rPr>
        <w:t>texture</w:t>
      </w:r>
      <w:proofErr w:type="spellEnd"/>
      <w:r w:rsidRPr="007154B1">
        <w:rPr>
          <w:rFonts w:ascii="Helvetica" w:hAnsi="Helvetica"/>
          <w:color w:val="auto"/>
          <w:sz w:val="20"/>
          <w:szCs w:val="20"/>
        </w:rPr>
        <w:t xml:space="preserve"> leggermente ruvida: classico nero, avana, miele, grigio, e rosso. Le lenti sono in </w:t>
      </w:r>
      <w:r w:rsidRPr="007154B1">
        <w:rPr>
          <w:rFonts w:ascii="Helvetica" w:hAnsi="Helvetica"/>
          <w:color w:val="auto"/>
          <w:sz w:val="20"/>
          <w:szCs w:val="20"/>
        </w:rPr>
        <w:t>cristallo per tutte le varianti</w:t>
      </w:r>
      <w:r w:rsidR="00F13028" w:rsidRPr="007154B1">
        <w:rPr>
          <w:rFonts w:ascii="Helvetica" w:hAnsi="Helvetica"/>
          <w:color w:val="auto"/>
          <w:sz w:val="20"/>
          <w:szCs w:val="20"/>
        </w:rPr>
        <w:t>.</w:t>
      </w:r>
      <w:proofErr w:type="gramStart"/>
    </w:p>
    <w:p w14:paraId="3F2C7ED3" w14:textId="77777777" w:rsidR="00D010AB" w:rsidRDefault="00D010AB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proofErr w:type="gramEnd"/>
    </w:p>
    <w:p w14:paraId="290A4204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0993535F" w14:textId="77777777" w:rsidR="001321FB" w:rsidRPr="00484CEC" w:rsidRDefault="00D010AB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 xml:space="preserve">LUCILLE - </w:t>
      </w:r>
      <w:r w:rsidR="001321FB" w:rsidRPr="00484CEC">
        <w:rPr>
          <w:rFonts w:ascii="Helvetica" w:hAnsi="Helvetica"/>
          <w:b/>
          <w:color w:val="auto"/>
          <w:sz w:val="20"/>
          <w:szCs w:val="20"/>
        </w:rPr>
        <w:t>AR7008</w:t>
      </w:r>
    </w:p>
    <w:p w14:paraId="73F214A9" w14:textId="77777777" w:rsidR="001321FB" w:rsidRPr="007154B1" w:rsidRDefault="007154B1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7154B1">
        <w:rPr>
          <w:rFonts w:ascii="Helvetica" w:hAnsi="Helvetica"/>
          <w:color w:val="auto"/>
          <w:sz w:val="20"/>
          <w:szCs w:val="20"/>
        </w:rPr>
        <w:t xml:space="preserve">L’architetto, compagna di Adrian, indossa un modello elegante dalla forma ovale. Il gusto retrò è dato dai rivetti in metallo del frontale e del terminale, oltre che dalla particolare lavorazione graffiata della montatura in acetato che crea un effetto opaco. E’ disponibile in cinque varianti di colore: nero, blu, verde acqua. Il logo </w:t>
      </w:r>
      <w:proofErr w:type="spellStart"/>
      <w:r w:rsidRPr="007154B1">
        <w:rPr>
          <w:rFonts w:ascii="Helvetica" w:hAnsi="Helvetica"/>
          <w:i/>
          <w:color w:val="auto"/>
          <w:sz w:val="20"/>
          <w:szCs w:val="20"/>
        </w:rPr>
        <w:t>Frames</w:t>
      </w:r>
      <w:proofErr w:type="spellEnd"/>
      <w:r w:rsidRPr="007154B1">
        <w:rPr>
          <w:rFonts w:ascii="Helvetica" w:hAnsi="Helvetica"/>
          <w:i/>
          <w:color w:val="auto"/>
          <w:sz w:val="20"/>
          <w:szCs w:val="20"/>
        </w:rPr>
        <w:t xml:space="preserve"> of Life</w:t>
      </w:r>
      <w:r w:rsidRPr="007154B1">
        <w:rPr>
          <w:rFonts w:ascii="Helvetica" w:hAnsi="Helvetica"/>
          <w:color w:val="auto"/>
          <w:sz w:val="20"/>
          <w:szCs w:val="20"/>
        </w:rPr>
        <w:t xml:space="preserve"> è inciso a laser all’interno dell’asta</w:t>
      </w:r>
      <w:r w:rsidR="001321FB" w:rsidRPr="007154B1">
        <w:rPr>
          <w:rFonts w:ascii="Helvetica" w:hAnsi="Helvetica"/>
          <w:color w:val="auto"/>
          <w:sz w:val="20"/>
          <w:szCs w:val="20"/>
        </w:rPr>
        <w:t xml:space="preserve">. </w:t>
      </w:r>
    </w:p>
    <w:p w14:paraId="290F9D98" w14:textId="77777777" w:rsidR="001321FB" w:rsidRPr="00484CEC" w:rsidRDefault="001321FB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571D8FFB" w14:textId="77777777" w:rsidR="00CC23A9" w:rsidRDefault="00CC23A9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5DB36988" w14:textId="77777777" w:rsidR="00484CEC" w:rsidRPr="000D66F5" w:rsidRDefault="00484CEC" w:rsidP="000D66F5">
      <w:pPr>
        <w:ind w:left="397" w:right="397"/>
        <w:jc w:val="both"/>
        <w:rPr>
          <w:rFonts w:ascii="Helvetica" w:hAnsi="Helvetica" w:cs="Helvetica"/>
          <w:color w:val="0D0D0D" w:themeColor="text1" w:themeTint="F2"/>
          <w:sz w:val="20"/>
          <w:szCs w:val="20"/>
        </w:rPr>
      </w:pPr>
      <w:proofErr w:type="spellStart"/>
      <w:proofErr w:type="gramStart"/>
      <w:r w:rsidRPr="000D66F5">
        <w:rPr>
          <w:rFonts w:ascii="Helvetica" w:hAnsi="Helvetica"/>
          <w:color w:val="0D0D0D" w:themeColor="text1" w:themeTint="F2"/>
          <w:sz w:val="20"/>
          <w:szCs w:val="20"/>
        </w:rPr>
        <w:t>l</w:t>
      </w:r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>l</w:t>
      </w:r>
      <w:proofErr w:type="spellEnd"/>
      <w:proofErr w:type="gramEnd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 Gruppo Armani è tra le aziende della moda e del lusso leader nel mondo con oltre 5.700</w:t>
      </w:r>
      <w:bookmarkStart w:id="0" w:name="_GoBack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  </w:t>
      </w:r>
      <w:bookmarkEnd w:id="0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dipendenti e 12 stabilimenti di produzione. Il Gruppo disegna, produce, distribuisce e vende direttamente prodotti di moda e </w:t>
      </w:r>
      <w:proofErr w:type="spellStart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>lifestyle</w:t>
      </w:r>
      <w:proofErr w:type="spellEnd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 quali abbigliamento, </w:t>
      </w:r>
      <w:proofErr w:type="gramStart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>accessori</w:t>
      </w:r>
      <w:proofErr w:type="gramEnd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, occhiali, orologi, gioielli, cosmetici, profumi, mobili e complementi d’arredo con i seguenti marchi: Giorgio Armani </w:t>
      </w:r>
      <w:proofErr w:type="spellStart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>Privé</w:t>
      </w:r>
      <w:proofErr w:type="spellEnd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, Giorgio Armani, Emporio Armani, Armani Collezioni, AJ Armani Jeans, A/X Armani Exchange, Armani Junior e Armani Casa. L’esclusiva rete distributiva del Gruppo comprende 751 negozi (di proprietà e </w:t>
      </w:r>
      <w:proofErr w:type="spellStart"/>
      <w:r w:rsidRPr="000D66F5">
        <w:rPr>
          <w:rFonts w:ascii="Helvetica" w:hAnsi="Helvetica" w:cs="Helvetica"/>
          <w:i/>
          <w:iCs/>
          <w:color w:val="0D0D0D" w:themeColor="text1" w:themeTint="F2"/>
          <w:sz w:val="20"/>
          <w:szCs w:val="20"/>
        </w:rPr>
        <w:t>freestanding</w:t>
      </w:r>
      <w:proofErr w:type="spellEnd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 terzi) in tutto il mondo: </w:t>
      </w:r>
      <w:proofErr w:type="gramStart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>89</w:t>
      </w:r>
      <w:proofErr w:type="gramEnd"/>
      <w:r w:rsidRPr="000D66F5">
        <w:rPr>
          <w:rFonts w:ascii="Helvetica" w:hAnsi="Helvetica" w:cs="Helvetica"/>
          <w:color w:val="0D0D0D" w:themeColor="text1" w:themeTint="F2"/>
          <w:sz w:val="20"/>
          <w:szCs w:val="20"/>
        </w:rPr>
        <w:t xml:space="preserve"> boutique Giorgio Armani, 3 boutique Giorgio Armani Accessori, 211 negozi Emporio Armani, 42 negozi Armani Collezioni, 235 negozi A/X Armani Exchange, 33 negozi AJ Armani Jeans, 2 negozi AJ Accessori, 21 negozi Armani Junior, </w:t>
      </w:r>
      <w:r w:rsidRPr="000D66F5">
        <w:rPr>
          <w:rFonts w:ascii="Helvetica" w:hAnsi="Helvetica"/>
          <w:color w:val="0D0D0D" w:themeColor="text1" w:themeTint="F2"/>
          <w:sz w:val="20"/>
          <w:szCs w:val="20"/>
        </w:rPr>
        <w:t>36 negozi Armani/Casa, in 46 Paesi nel mondo.</w:t>
      </w:r>
    </w:p>
    <w:p w14:paraId="46E47573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457A9DF6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0C0AB066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111DFE37" w14:textId="77777777" w:rsidR="00484CEC" w:rsidRPr="000D66F5" w:rsidRDefault="00484CEC" w:rsidP="000D66F5">
      <w:pPr>
        <w:pStyle w:val="Testocommento"/>
        <w:ind w:left="397" w:right="397"/>
        <w:jc w:val="both"/>
        <w:rPr>
          <w:rFonts w:ascii="Helvetica" w:hAnsi="Helvetica"/>
          <w:color w:val="0D0D0D" w:themeColor="text1" w:themeTint="F2"/>
          <w:lang w:val="es-ES"/>
        </w:rPr>
      </w:pPr>
    </w:p>
    <w:p w14:paraId="46AE508F" w14:textId="77777777" w:rsidR="00484CEC" w:rsidRPr="000D66F5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</w:pPr>
      <w:r w:rsidRPr="000D66F5">
        <w:rPr>
          <w:rFonts w:ascii="Helvetica" w:eastAsia="SimSun" w:hAnsi="Helvetica" w:cs="Helvetica"/>
          <w:snapToGrid w:val="0"/>
          <w:color w:val="0D0D0D" w:themeColor="text1" w:themeTint="F2"/>
          <w:sz w:val="20"/>
          <w:szCs w:val="20"/>
          <w:lang w:eastAsia="zh-CN"/>
        </w:rPr>
        <w:t xml:space="preserve">Per informazioni: </w:t>
      </w:r>
      <w:r w:rsidRPr="000D66F5">
        <w:rPr>
          <w:rFonts w:ascii="Helvetica" w:eastAsia="SimSun" w:hAnsi="Helvetica" w:cs="Helvetica"/>
          <w:snapToGrid w:val="0"/>
          <w:color w:val="0D0D0D" w:themeColor="text1" w:themeTint="F2"/>
          <w:sz w:val="20"/>
          <w:szCs w:val="20"/>
          <w:lang w:eastAsia="zh-CN"/>
        </w:rPr>
        <w:tab/>
      </w:r>
      <w:r w:rsidRPr="000D66F5">
        <w:rPr>
          <w:rFonts w:ascii="Helvetica" w:eastAsia="SimSun" w:hAnsi="Helvetica" w:cs="Helvetica"/>
          <w:snapToGrid w:val="0"/>
          <w:color w:val="0D0D0D" w:themeColor="text1" w:themeTint="F2"/>
          <w:sz w:val="20"/>
          <w:szCs w:val="20"/>
          <w:lang w:eastAsia="zh-CN"/>
        </w:rPr>
        <w:tab/>
      </w:r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>Cristina Parenti</w:t>
      </w:r>
    </w:p>
    <w:p w14:paraId="285549DA" w14:textId="77777777" w:rsidR="00484CEC" w:rsidRPr="000D66F5" w:rsidRDefault="00484CEC" w:rsidP="000D66F5">
      <w:pPr>
        <w:autoSpaceDE w:val="0"/>
        <w:autoSpaceDN w:val="0"/>
        <w:adjustRightInd w:val="0"/>
        <w:spacing w:line="240" w:lineRule="atLeast"/>
        <w:ind w:left="2124" w:right="397" w:firstLine="708"/>
        <w:jc w:val="both"/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</w:pPr>
      <w:proofErr w:type="spellStart"/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>Director</w:t>
      </w:r>
      <w:proofErr w:type="spellEnd"/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 xml:space="preserve"> of Group Corporate </w:t>
      </w:r>
      <w:proofErr w:type="spellStart"/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>Communication</w:t>
      </w:r>
      <w:proofErr w:type="spellEnd"/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 xml:space="preserve"> and </w:t>
      </w:r>
      <w:proofErr w:type="gramStart"/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>Public Relations</w:t>
      </w:r>
      <w:proofErr w:type="gramEnd"/>
    </w:p>
    <w:p w14:paraId="6AFF0A1B" w14:textId="77777777" w:rsidR="00484CEC" w:rsidRPr="000D66F5" w:rsidRDefault="00484CEC" w:rsidP="000D66F5">
      <w:pPr>
        <w:autoSpaceDE w:val="0"/>
        <w:autoSpaceDN w:val="0"/>
        <w:adjustRightInd w:val="0"/>
        <w:spacing w:line="240" w:lineRule="atLeast"/>
        <w:ind w:left="2124" w:right="397" w:firstLine="708"/>
        <w:jc w:val="both"/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</w:pPr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>LUXOTTICA GROUP</w:t>
      </w:r>
    </w:p>
    <w:p w14:paraId="5533ACD0" w14:textId="77777777" w:rsidR="00484CEC" w:rsidRPr="000D66F5" w:rsidRDefault="00484CEC" w:rsidP="000D66F5">
      <w:pPr>
        <w:autoSpaceDE w:val="0"/>
        <w:autoSpaceDN w:val="0"/>
        <w:adjustRightInd w:val="0"/>
        <w:spacing w:line="240" w:lineRule="atLeast"/>
        <w:ind w:left="2124" w:right="397" w:firstLine="708"/>
        <w:jc w:val="both"/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</w:pPr>
      <w:proofErr w:type="gramStart"/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>tel.</w:t>
      </w:r>
      <w:proofErr w:type="gramEnd"/>
      <w:r w:rsidRPr="000D66F5">
        <w:rPr>
          <w:rFonts w:ascii="Helvetica" w:hAnsi="Helvetica" w:cs="Helvetica"/>
          <w:color w:val="0D0D0D" w:themeColor="text1" w:themeTint="F2"/>
          <w:sz w:val="20"/>
          <w:szCs w:val="20"/>
          <w:lang w:eastAsia="en-GB"/>
        </w:rPr>
        <w:t>: + 39 02 86 33 4733</w:t>
      </w:r>
    </w:p>
    <w:p w14:paraId="3A797CE8" w14:textId="77777777" w:rsidR="00484CEC" w:rsidRPr="000D66F5" w:rsidRDefault="007154B1" w:rsidP="000D66F5">
      <w:pPr>
        <w:autoSpaceDE w:val="0"/>
        <w:autoSpaceDN w:val="0"/>
        <w:adjustRightInd w:val="0"/>
        <w:spacing w:line="240" w:lineRule="atLeast"/>
        <w:ind w:left="2124" w:right="397" w:firstLine="708"/>
        <w:jc w:val="both"/>
        <w:rPr>
          <w:rFonts w:ascii="Helvetica" w:hAnsi="Helvetica"/>
          <w:color w:val="0D0D0D" w:themeColor="text1" w:themeTint="F2"/>
          <w:sz w:val="20"/>
          <w:szCs w:val="20"/>
          <w:lang w:val="de-DE"/>
        </w:rPr>
      </w:pPr>
      <w:hyperlink r:id="rId9" w:history="1">
        <w:r w:rsidR="00484CEC" w:rsidRPr="000D66F5">
          <w:rPr>
            <w:rStyle w:val="Collegamentoipertestuale"/>
            <w:rFonts w:ascii="Helvetica" w:hAnsi="Helvetica" w:cs="Helvetica"/>
            <w:color w:val="0D0D0D" w:themeColor="text1" w:themeTint="F2"/>
            <w:sz w:val="20"/>
            <w:szCs w:val="20"/>
            <w:lang w:eastAsia="en-GB"/>
          </w:rPr>
          <w:t>cristina.parenti@luxottica.com</w:t>
        </w:r>
      </w:hyperlink>
    </w:p>
    <w:p w14:paraId="61B9A5D9" w14:textId="77777777" w:rsidR="00484CEC" w:rsidRPr="000D66F5" w:rsidRDefault="00484CEC" w:rsidP="000D66F5">
      <w:pPr>
        <w:pStyle w:val="Testocommento"/>
        <w:ind w:left="397" w:right="397"/>
        <w:jc w:val="both"/>
        <w:rPr>
          <w:rFonts w:ascii="Helvetica" w:hAnsi="Helvetica"/>
          <w:b/>
          <w:color w:val="0D0D0D" w:themeColor="text1" w:themeTint="F2"/>
          <w:lang w:val="en-US"/>
        </w:rPr>
      </w:pPr>
    </w:p>
    <w:p w14:paraId="2A1C604F" w14:textId="77777777" w:rsidR="00484CEC" w:rsidRPr="000D66F5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D0D0D" w:themeColor="text1" w:themeTint="F2"/>
          <w:sz w:val="20"/>
          <w:szCs w:val="20"/>
          <w:lang w:val="en-US"/>
        </w:rPr>
      </w:pPr>
    </w:p>
    <w:p w14:paraId="1DA76E73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sectPr w:rsidR="00484CEC" w:rsidRPr="000D66F5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4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2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549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31C88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E8D59-337A-2C48-AE05-45119442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4305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3</cp:revision>
  <dcterms:created xsi:type="dcterms:W3CDTF">2013-03-25T15:48:00Z</dcterms:created>
  <dcterms:modified xsi:type="dcterms:W3CDTF">2013-03-27T14:00:00Z</dcterms:modified>
</cp:coreProperties>
</file>