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Calibri" w:hAnsi="Calibri"/>
          <w:b/>
          <w:b/>
          <w:bCs/>
          <w:sz w:val="28"/>
          <w:szCs w:val="28"/>
        </w:rPr>
      </w:pPr>
      <w:r>
        <w:rPr>
          <w:b/>
          <w:sz w:val="28"/>
          <w:szCs w:val="28"/>
          <w:lang w:eastAsia="lv-LV"/>
        </w:rPr>
        <w:t>Schwarzmund-Grundel</w:t>
      </w:r>
      <w:r>
        <w:rPr>
          <w:b/>
          <w:bCs/>
          <w:sz w:val="28"/>
          <w:szCs w:val="28"/>
        </w:rPr>
        <w:t xml:space="preserve"> </w:t>
      </w:r>
    </w:p>
    <w:p>
      <w:pPr>
        <w:pStyle w:val="Normal"/>
        <w:spacing w:lineRule="auto" w:line="240" w:before="0" w:after="0"/>
        <w:rPr>
          <w:rFonts w:ascii="Calibri" w:hAnsi="Calibri"/>
          <w:b/>
          <w:b/>
          <w:bCs/>
          <w:sz w:val="28"/>
          <w:szCs w:val="28"/>
        </w:rPr>
      </w:pPr>
      <w:r>
        <w:rPr>
          <w:i/>
          <w:iCs/>
          <w:sz w:val="28"/>
          <w:szCs w:val="28"/>
        </w:rPr>
        <w:t>Neogobius melanostomus</w:t>
      </w:r>
    </w:p>
    <w:p>
      <w:pPr>
        <w:pStyle w:val="Normal"/>
        <w:spacing w:lineRule="auto" w:line="240" w:before="0" w:after="0"/>
        <w:rPr>
          <w:rFonts w:ascii="Calibri" w:hAnsi="Calibri"/>
          <w:sz w:val="28"/>
          <w:szCs w:val="28"/>
        </w:rPr>
      </w:pPr>
      <w:r>
        <w:rPr>
          <w:sz w:val="28"/>
          <w:szCs w:val="28"/>
        </w:rPr>
        <w:t xml:space="preserve">Ordnung: </w:t>
      </w:r>
      <w:r>
        <w:rPr>
          <w:i/>
          <w:iCs/>
          <w:sz w:val="28"/>
          <w:szCs w:val="28"/>
        </w:rPr>
        <w:t xml:space="preserve">Gobiiformes </w:t>
      </w:r>
      <w:r>
        <w:rPr>
          <w:iCs/>
          <w:sz w:val="28"/>
          <w:szCs w:val="28"/>
        </w:rPr>
        <w:t>(Grundelartige)</w:t>
      </w:r>
    </w:p>
    <w:p>
      <w:pPr>
        <w:pStyle w:val="Normal"/>
        <w:spacing w:lineRule="auto" w:line="240" w:before="0" w:after="0"/>
        <w:rPr>
          <w:rFonts w:ascii="Calibri" w:hAnsi="Calibri"/>
          <w:sz w:val="28"/>
          <w:szCs w:val="28"/>
        </w:rPr>
      </w:pPr>
      <w:r>
        <w:rPr>
          <w:sz w:val="28"/>
          <w:szCs w:val="28"/>
        </w:rPr>
        <w:t xml:space="preserve">Familie: </w:t>
      </w:r>
      <w:r>
        <w:rPr>
          <w:i/>
          <w:iCs/>
          <w:sz w:val="28"/>
          <w:szCs w:val="28"/>
        </w:rPr>
        <w:t xml:space="preserve">Gobiidae </w:t>
      </w:r>
      <w:r>
        <w:rPr>
          <w:iCs/>
          <w:sz w:val="28"/>
          <w:szCs w:val="28"/>
        </w:rPr>
        <w:t>(Grundeln)</w:t>
      </w:r>
    </w:p>
    <w:p>
      <w:pPr>
        <w:pStyle w:val="Normal"/>
        <w:jc w:val="both"/>
        <w:rPr>
          <w:rFonts w:ascii="Calibri" w:hAnsi="Calibri"/>
          <w:sz w:val="28"/>
          <w:szCs w:val="28"/>
        </w:rPr>
      </w:pPr>
      <w:r>
        <w:rPr>
          <w:sz w:val="28"/>
          <w:szCs w:val="28"/>
        </w:rPr>
      </w:r>
    </w:p>
    <w:p>
      <w:pPr>
        <w:pStyle w:val="Normal"/>
        <w:spacing w:lineRule="auto" w:line="240" w:before="0" w:after="0"/>
        <w:rPr>
          <w:rFonts w:ascii="Calibri" w:hAnsi="Calibri"/>
          <w:iCs/>
          <w:sz w:val="28"/>
          <w:szCs w:val="28"/>
          <w:lang w:val="de-DE"/>
        </w:rPr>
      </w:pPr>
      <w:r>
        <w:rPr>
          <w:iCs/>
          <w:sz w:val="28"/>
          <w:szCs w:val="28"/>
          <w:lang w:val="de-DE"/>
        </w:rPr>
        <w:t>Äußere Merkmale</w:t>
      </w:r>
    </w:p>
    <w:p>
      <w:pPr>
        <w:pStyle w:val="Normal"/>
        <w:spacing w:before="0" w:after="0"/>
        <w:jc w:val="both"/>
        <w:rPr>
          <w:rFonts w:ascii="Calibri" w:hAnsi="Calibri"/>
          <w:sz w:val="28"/>
          <w:szCs w:val="28"/>
        </w:rPr>
      </w:pPr>
      <w:r>
        <w:rPr>
          <w:sz w:val="28"/>
          <w:szCs w:val="28"/>
        </w:rPr>
        <w:t>Die Bauchflossen sind zu einer Scheibe zusammengewachsen, was die Befestigung am Grund er</w:t>
      </w:r>
      <w:bookmarkStart w:id="0" w:name="_GoBack"/>
      <w:bookmarkEnd w:id="0"/>
      <w:r>
        <w:rPr>
          <w:sz w:val="28"/>
          <w:szCs w:val="28"/>
        </w:rPr>
        <w:t xml:space="preserve">leichtert. Ein charakteristisches Merkmal der Art ist ein dunkler Punkt hinter der ersten Rückenflosse. Der Fisch kann eine Länge von 24 cm erreichen und in der Masse 230 g überschreiten. </w:t>
      </w:r>
    </w:p>
    <w:p>
      <w:pPr>
        <w:pStyle w:val="Normal"/>
        <w:spacing w:before="0" w:after="0"/>
        <w:ind w:firstLine="720"/>
        <w:jc w:val="both"/>
        <w:rPr>
          <w:rFonts w:ascii="Calibri" w:hAnsi="Calibri"/>
          <w:sz w:val="28"/>
          <w:szCs w:val="28"/>
        </w:rPr>
      </w:pPr>
      <w:r>
        <w:rPr>
          <w:sz w:val="28"/>
          <w:szCs w:val="28"/>
        </w:rPr>
      </w:r>
    </w:p>
    <w:p>
      <w:pPr>
        <w:pStyle w:val="Normal"/>
        <w:spacing w:lineRule="auto" w:line="240" w:before="0" w:after="0"/>
        <w:rPr>
          <w:rFonts w:ascii="Calibri" w:hAnsi="Calibri" w:cs="Times New Roman"/>
          <w:iCs/>
          <w:sz w:val="28"/>
          <w:szCs w:val="28"/>
        </w:rPr>
      </w:pPr>
      <w:r>
        <w:rPr>
          <w:rFonts w:cs="Times New Roman"/>
          <w:iCs/>
          <w:sz w:val="28"/>
          <w:szCs w:val="28"/>
        </w:rPr>
        <w:t>Verbreitung</w:t>
      </w:r>
    </w:p>
    <w:p>
      <w:pPr>
        <w:pStyle w:val="Normal"/>
        <w:spacing w:before="0" w:after="0"/>
        <w:jc w:val="both"/>
        <w:rPr>
          <w:rFonts w:ascii="Calibri" w:hAnsi="Calibri"/>
          <w:sz w:val="28"/>
          <w:szCs w:val="28"/>
        </w:rPr>
      </w:pPr>
      <w:r>
        <w:rPr>
          <w:sz w:val="28"/>
          <w:szCs w:val="28"/>
        </w:rPr>
        <w:t xml:space="preserve">In Lettland als invasive Art anzusehen. Das natürliche Verbreitungsgebiet sind die Regionen der Asovischen, Schwarzen und Kaspischen Meere. In der Ostsee ist er zum ersten Mal 1990 gefunden worden. </w:t>
      </w:r>
    </w:p>
    <w:p>
      <w:pPr>
        <w:pStyle w:val="Normal"/>
        <w:spacing w:before="0" w:after="0"/>
        <w:ind w:firstLine="720"/>
        <w:jc w:val="both"/>
        <w:rPr>
          <w:rFonts w:ascii="Calibri" w:hAnsi="Calibri"/>
          <w:sz w:val="28"/>
          <w:szCs w:val="28"/>
        </w:rPr>
      </w:pPr>
      <w:r>
        <w:rPr>
          <w:sz w:val="28"/>
          <w:szCs w:val="28"/>
        </w:rPr>
      </w:r>
    </w:p>
    <w:p>
      <w:pPr>
        <w:pStyle w:val="Normal"/>
        <w:spacing w:lineRule="auto" w:line="240" w:before="0" w:after="0"/>
        <w:rPr>
          <w:rFonts w:ascii="Calibri" w:hAnsi="Calibri"/>
          <w:iCs/>
          <w:sz w:val="28"/>
          <w:szCs w:val="28"/>
        </w:rPr>
      </w:pPr>
      <w:r>
        <w:rPr>
          <w:iCs/>
          <w:sz w:val="28"/>
          <w:szCs w:val="28"/>
        </w:rPr>
        <w:t>Ernährung</w:t>
      </w:r>
    </w:p>
    <w:p>
      <w:pPr>
        <w:pStyle w:val="Normal"/>
        <w:spacing w:lineRule="auto" w:line="240" w:before="0" w:after="0"/>
        <w:rPr>
          <w:rFonts w:ascii="Calibri" w:hAnsi="Calibri"/>
          <w:iCs/>
          <w:sz w:val="28"/>
          <w:szCs w:val="28"/>
        </w:rPr>
      </w:pPr>
      <w:r>
        <w:rPr>
          <w:sz w:val="28"/>
          <w:szCs w:val="28"/>
          <w:lang w:eastAsia="lv-LV"/>
        </w:rPr>
        <w:t>Der Schwarzmund Grundel</w:t>
      </w:r>
      <w:r>
        <w:rPr>
          <w:b/>
          <w:bCs/>
          <w:sz w:val="28"/>
          <w:szCs w:val="28"/>
        </w:rPr>
        <w:t xml:space="preserve"> </w:t>
      </w:r>
      <w:r>
        <w:rPr>
          <w:iCs/>
          <w:sz w:val="28"/>
          <w:szCs w:val="28"/>
        </w:rPr>
        <w:t xml:space="preserve">hat eine vielseitige Ernährung, doch hauptsächlich werden Muscheln und kleine Krebsartige verspeist.  </w:t>
      </w:r>
    </w:p>
    <w:p>
      <w:pPr>
        <w:pStyle w:val="Normal"/>
        <w:spacing w:lineRule="auto" w:line="240" w:before="0" w:after="0"/>
        <w:rPr>
          <w:rFonts w:ascii="Calibri" w:hAnsi="Calibri"/>
          <w:iCs/>
          <w:sz w:val="28"/>
          <w:szCs w:val="28"/>
        </w:rPr>
      </w:pPr>
      <w:r>
        <w:rPr>
          <w:iCs/>
          <w:sz w:val="28"/>
          <w:szCs w:val="28"/>
        </w:rPr>
      </w:r>
    </w:p>
    <w:p>
      <w:pPr>
        <w:pStyle w:val="Normal"/>
        <w:spacing w:lineRule="auto" w:line="240" w:before="0" w:after="0"/>
        <w:rPr>
          <w:rFonts w:ascii="Calibri" w:hAnsi="Calibri"/>
          <w:iCs/>
          <w:sz w:val="28"/>
          <w:szCs w:val="28"/>
        </w:rPr>
      </w:pPr>
      <w:r>
        <w:rPr>
          <w:iCs/>
          <w:sz w:val="28"/>
          <w:szCs w:val="28"/>
        </w:rPr>
        <w:t>Fortpflanzung</w:t>
      </w:r>
    </w:p>
    <w:p>
      <w:pPr>
        <w:pStyle w:val="Normal"/>
        <w:spacing w:before="0" w:after="0"/>
        <w:jc w:val="both"/>
        <w:rPr>
          <w:rFonts w:ascii="Calibri" w:hAnsi="Calibri"/>
          <w:sz w:val="28"/>
          <w:szCs w:val="28"/>
        </w:rPr>
      </w:pPr>
      <w:r>
        <w:rPr>
          <w:sz w:val="28"/>
          <w:szCs w:val="28"/>
        </w:rPr>
        <w:t>Die Männchen sind aggressiv un verteidigen ihr Territorium – sie richten Laichnester ein und beschützen ihre Laichplätze. Die Laichsaison währt vom April bis zum September. Die Eier werden auf den Meeresgrund gelaicht, sie sind klebrig und befestigen sich leicht an Pflanzen oder anderen Substraten.</w:t>
      </w:r>
    </w:p>
    <w:p>
      <w:pPr>
        <w:pStyle w:val="Normal"/>
        <w:spacing w:before="0" w:after="0"/>
        <w:jc w:val="both"/>
        <w:rPr>
          <w:rFonts w:ascii="Calibri" w:hAnsi="Calibri"/>
          <w:sz w:val="28"/>
          <w:szCs w:val="28"/>
        </w:rPr>
      </w:pPr>
      <w:r>
        <w:rPr>
          <w:sz w:val="28"/>
          <w:szCs w:val="28"/>
        </w:rPr>
      </w:r>
    </w:p>
    <w:p>
      <w:pPr>
        <w:pStyle w:val="Normal"/>
        <w:spacing w:lineRule="auto" w:line="240" w:before="0" w:after="0"/>
        <w:rPr>
          <w:rFonts w:ascii="Calibri" w:hAnsi="Calibri"/>
          <w:sz w:val="28"/>
          <w:szCs w:val="28"/>
        </w:rPr>
      </w:pPr>
      <w:r>
        <w:rPr>
          <w:iCs/>
          <w:sz w:val="28"/>
          <w:szCs w:val="28"/>
        </w:rPr>
        <w:t>Fischfang</w:t>
      </w:r>
    </w:p>
    <w:p>
      <w:pPr>
        <w:pStyle w:val="Normal"/>
        <w:spacing w:before="0" w:after="0"/>
        <w:jc w:val="both"/>
        <w:rPr>
          <w:rFonts w:ascii="Calibri" w:hAnsi="Calibri"/>
          <w:sz w:val="28"/>
          <w:szCs w:val="28"/>
        </w:rPr>
      </w:pPr>
      <w:r>
        <w:rPr>
          <w:sz w:val="28"/>
          <w:szCs w:val="28"/>
          <w:lang w:eastAsia="lv-LV"/>
        </w:rPr>
        <w:t>Für den Schwarzmund Grundel</w:t>
      </w:r>
      <w:r>
        <w:rPr>
          <w:b/>
          <w:bCs/>
          <w:sz w:val="28"/>
          <w:szCs w:val="28"/>
        </w:rPr>
        <w:t xml:space="preserve"> </w:t>
      </w:r>
      <w:r>
        <w:rPr>
          <w:bCs/>
          <w:sz w:val="28"/>
          <w:szCs w:val="28"/>
        </w:rPr>
        <w:t>gibt es in der Ostsee</w:t>
      </w:r>
      <w:r>
        <w:rPr>
          <w:b/>
          <w:bCs/>
          <w:sz w:val="28"/>
          <w:szCs w:val="28"/>
        </w:rPr>
        <w:t xml:space="preserve"> </w:t>
      </w:r>
      <w:r>
        <w:rPr>
          <w:sz w:val="28"/>
          <w:szCs w:val="28"/>
        </w:rPr>
        <w:t>keine Fangbegrenzung. Es gibt ein spezialisiertes Fischfanggerät – die runde Reuse f</w:t>
      </w:r>
      <w:r>
        <w:rPr>
          <w:sz w:val="28"/>
          <w:szCs w:val="28"/>
          <w:lang w:val="de-DE"/>
        </w:rPr>
        <w:t xml:space="preserve">ür </w:t>
      </w:r>
      <w:r>
        <w:rPr>
          <w:sz w:val="28"/>
          <w:szCs w:val="28"/>
          <w:lang w:eastAsia="lv-LV"/>
        </w:rPr>
        <w:t>Schwarzmund Grundel</w:t>
      </w:r>
      <w:r>
        <w:rPr>
          <w:sz w:val="28"/>
          <w:szCs w:val="28"/>
        </w:rPr>
        <w:t xml:space="preserve">, um weniger andere Fische zu fangen. Seit 2017 ist der </w:t>
      </w:r>
      <w:r>
        <w:rPr>
          <w:sz w:val="28"/>
          <w:szCs w:val="28"/>
          <w:lang w:eastAsia="lv-LV"/>
        </w:rPr>
        <w:t>Schwarzmund Grundel der zweite meist gefangene Fisch an der lettischen Meeresküste</w:t>
      </w:r>
      <w:r>
        <w:rPr>
          <w:sz w:val="28"/>
          <w:szCs w:val="28"/>
        </w:rPr>
        <w:t xml:space="preserve">. </w:t>
      </w:r>
    </w:p>
    <w:p>
      <w:pPr>
        <w:pStyle w:val="Normal"/>
        <w:spacing w:before="0" w:after="0"/>
        <w:ind w:firstLine="720"/>
        <w:jc w:val="both"/>
        <w:rPr>
          <w:rFonts w:ascii="Calibri" w:hAnsi="Calibri"/>
          <w:sz w:val="28"/>
          <w:szCs w:val="28"/>
        </w:rPr>
      </w:pPr>
      <w:r>
        <w:rPr>
          <w:sz w:val="28"/>
          <w:szCs w:val="28"/>
        </w:rPr>
      </w:r>
    </w:p>
    <w:p>
      <w:pPr>
        <w:pStyle w:val="Normal"/>
        <w:spacing w:before="0" w:after="0"/>
        <w:jc w:val="both"/>
        <w:rPr>
          <w:rFonts w:ascii="Calibri" w:hAnsi="Calibri"/>
          <w:iCs/>
          <w:sz w:val="28"/>
          <w:szCs w:val="28"/>
        </w:rPr>
      </w:pPr>
      <w:r>
        <w:rPr>
          <w:iCs/>
          <w:sz w:val="28"/>
          <w:szCs w:val="28"/>
        </w:rPr>
        <w:t>Interessante Fakten</w:t>
      </w:r>
    </w:p>
    <w:p>
      <w:pPr>
        <w:pStyle w:val="Normal"/>
        <w:spacing w:before="0" w:after="0"/>
        <w:jc w:val="both"/>
        <w:rPr>
          <w:rFonts w:ascii="Calibri" w:hAnsi="Calibri"/>
          <w:sz w:val="28"/>
          <w:szCs w:val="28"/>
        </w:rPr>
      </w:pPr>
      <w:r>
        <w:rPr>
          <w:sz w:val="28"/>
          <w:szCs w:val="28"/>
        </w:rPr>
        <w:t xml:space="preserve">Die Ostsee ist ein geeigneter Lebensort für den </w:t>
      </w:r>
      <w:r>
        <w:rPr>
          <w:sz w:val="28"/>
          <w:szCs w:val="28"/>
          <w:lang w:eastAsia="lv-LV"/>
        </w:rPr>
        <w:t>Schwarzmund Grundel, wovon die Körpergröße und eine längere Lebensdauer im Vergleich zu den Fischen in ihrem natürlichen Verbreitungsraum zeugen.</w:t>
      </w:r>
      <w:r>
        <w:rPr>
          <w:sz w:val="28"/>
          <w:szCs w:val="28"/>
        </w:rPr>
        <w:t xml:space="preserve">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d000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LibreOffice/7.2.5.2$Linux_X86_64 LibreOffice_project/20$Build-2</Application>
  <AppVersion>15.0000</AppVersion>
  <Pages>2</Pages>
  <Words>216</Words>
  <Characters>1363</Characters>
  <CharactersWithSpaces>1572</CharactersWithSpaces>
  <Paragraphs>16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2021-11-15T11:21:00Z</dcterms:created>
  <dc:creator>Una</dc:creator>
  <dc:description/>
  <dc:language>lv-LV</dc:language>
  <cp:lastModifiedBy/>
  <dcterms:modified xsi:type="dcterms:W3CDTF">2022-02-25T09:01:53Z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