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  <w:bookmarkStart w:id="0" w:name="_GoBack"/>
      <w:bookmarkStart w:id="1" w:name="_GoBack"/>
      <w:bookmarkEnd w:id="1"/>
    </w:p>
    <w:p>
      <w:pPr>
        <w:pStyle w:val="Virsraksts2"/>
        <w:rPr>
          <w:rFonts w:ascii="Calibri" w:hAnsi="Calibri" w:asciiTheme="minorHAnsi" w:hAnsiTheme="minorHAnsi"/>
          <w:b w:val="false"/>
          <w:b w:val="false"/>
          <w:sz w:val="28"/>
          <w:szCs w:val="28"/>
          <w:lang w:val="lv-LV"/>
        </w:rPr>
      </w:pPr>
      <w:r>
        <w:rPr>
          <w:rFonts w:eastAsia="Calibri" w:ascii="Calibri" w:hAnsi="Calibri" w:asciiTheme="minorHAnsi" w:eastAsiaTheme="minorHAnsi" w:hAnsiTheme="minorHAnsi"/>
          <w:bCs w:val="false"/>
          <w:iCs/>
          <w:sz w:val="28"/>
          <w:szCs w:val="28"/>
          <w:lang w:eastAsia="en-US"/>
        </w:rPr>
        <w:t>Fourbeard rockling</w:t>
      </w:r>
      <w:r>
        <w:rPr>
          <w:rFonts w:ascii="Calibri" w:hAnsi="Calibri" w:asciiTheme="minorHAnsi" w:hAnsiTheme="minorHAnsi"/>
          <w:b w:val="false"/>
          <w:smallCaps/>
          <w:sz w:val="28"/>
          <w:szCs w:val="28"/>
        </w:rPr>
        <w:t xml:space="preserve"> </w:t>
      </w:r>
    </w:p>
    <w:p>
      <w:pPr>
        <w:pStyle w:val="Virsraksts2"/>
        <w:rPr>
          <w:rFonts w:ascii="Calibri" w:hAnsi="Calibri" w:asciiTheme="minorHAnsi" w:hAnsiTheme="minorHAnsi"/>
          <w:b w:val="false"/>
          <w:b w:val="false"/>
          <w:sz w:val="28"/>
          <w:szCs w:val="28"/>
          <w:lang w:val="lv-LV"/>
        </w:rPr>
      </w:pPr>
      <w:r>
        <w:rPr>
          <w:rFonts w:ascii="Calibri" w:hAnsi="Calibri" w:asciiTheme="minorHAnsi" w:hAnsiTheme="minorHAnsi"/>
          <w:b w:val="false"/>
          <w:i/>
          <w:sz w:val="28"/>
          <w:szCs w:val="28"/>
        </w:rPr>
        <w:t>Enchelyopus cimbrius</w:t>
      </w:r>
    </w:p>
    <w:p>
      <w:pPr>
        <w:pStyle w:val="Normal"/>
        <w:jc w:val="both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 xml:space="preserve">Order: </w:t>
      </w:r>
      <w:r>
        <w:rPr>
          <w:rFonts w:cs="Times New Roman"/>
          <w:i/>
          <w:sz w:val="28"/>
          <w:szCs w:val="28"/>
        </w:rPr>
        <w:t>Gadiformes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 xml:space="preserve">Family: </w:t>
      </w:r>
      <w:r>
        <w:rPr>
          <w:rFonts w:cs="Times New Roman"/>
          <w:i/>
          <w:sz w:val="28"/>
          <w:szCs w:val="28"/>
        </w:rPr>
        <w:t>Gadrosaridae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External appearance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 xml:space="preserve">The fourbeard rockling has a slender body with small scales. Its back can be bluish or brownish grey. Its characteristic feature is an elongated barbel on its chin. In the Baltic Sea, it can reach a maximum size of up to 36 centimetres. 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Distribution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Found in the North Atlantic up to Iceland. In the Baltic Sea it occurs up to the Gulf of Finland and the Gulf of Bothnia.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Diet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Eats benthic crustaceans and worms.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Development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Usually spawns from March to August. Both eggs and larvae are pelagic.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Fishing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 xml:space="preserve">This species is of minor importance to both commercial fishing and anglers. 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Interesting facts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Unlike other fish, the first ray of the fourbeard rockling’s dorsal fin is long and prominent, making it easily distinguishable from other fish.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2">
    <w:name w:val="Heading 2"/>
    <w:basedOn w:val="Normal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rPr>
      <w:color w:val="000080"/>
      <w:u w:val="single"/>
    </w:rPr>
  </w:style>
  <w:style w:type="paragraph" w:styleId="Virsraksts" w:customStyle="1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/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 w:customStyle="1">
    <w:name w:val="Rādītāj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LibreOffice/7.2.5.2$Linux_X86_64 LibreOffice_project/20$Build-2</Application>
  <AppVersion>15.0000</AppVersion>
  <Pages>1</Pages>
  <Words>136</Words>
  <Characters>706</Characters>
  <CharactersWithSpaces>829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2021-12-28T13:36:00Z</dcterms:created>
  <dc:creator>Diana Meiere</dc:creator>
  <dc:description/>
  <dc:language>en-US</dc:language>
  <cp:lastModifiedBy/>
  <dcterms:modified xsi:type="dcterms:W3CDTF">2022-02-25T15:26:36Z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