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09"/>
          <w:tab w:val="left" w:pos="5400" w:leader="none"/>
        </w:tabs>
        <w:bidi w:val="0"/>
        <w:spacing w:before="0" w:after="0"/>
        <w:jc w:val="left"/>
        <w:rPr>
          <w:rFonts w:cs="Times New Roman"/>
          <w:b/>
          <w:b/>
          <w:bCs/>
          <w:sz w:val="28"/>
          <w:szCs w:val="28"/>
        </w:rPr>
      </w:pPr>
      <w:r>
        <w:drawing>
          <wp:anchor behindDoc="0" distT="0" distB="0" distL="114300" distR="114300" simplePos="0" locked="0" layoutInCell="0" allowOverlap="1" relativeHeight="2">
            <wp:simplePos x="0" y="0"/>
            <wp:positionH relativeFrom="margin">
              <wp:posOffset>5111750</wp:posOffset>
            </wp:positionH>
            <wp:positionV relativeFrom="paragraph">
              <wp:posOffset>6350</wp:posOffset>
            </wp:positionV>
            <wp:extent cx="832485" cy="520700"/>
            <wp:effectExtent l="0" t="0" r="0" b="0"/>
            <wp:wrapTight wrapText="bothSides">
              <wp:wrapPolygon edited="0">
                <wp:start x="9810" y="0"/>
                <wp:lineTo x="3849" y="2337"/>
                <wp:lineTo x="868" y="10195"/>
                <wp:lineTo x="1862" y="14131"/>
                <wp:lineTo x="7823" y="19635"/>
                <wp:lineTo x="9810" y="20419"/>
                <wp:lineTo x="12790" y="20419"/>
                <wp:lineTo x="14285" y="19635"/>
                <wp:lineTo x="21239" y="14131"/>
                <wp:lineTo x="21239" y="6273"/>
                <wp:lineTo x="12790" y="0"/>
                <wp:lineTo x="9810" y="0"/>
              </wp:wrapPolygon>
            </wp:wrapTight>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biLevel thresh="50000"/>
                    </a:blip>
                    <a:stretch>
                      <a:fillRect/>
                    </a:stretch>
                  </pic:blipFill>
                  <pic:spPr bwMode="auto">
                    <a:xfrm>
                      <a:off x="0" y="0"/>
                      <a:ext cx="832485" cy="520700"/>
                    </a:xfrm>
                    <a:prstGeom prst="rect">
                      <a:avLst/>
                    </a:prstGeom>
                  </pic:spPr>
                </pic:pic>
              </a:graphicData>
            </a:graphic>
          </wp:anchor>
        </w:drawing>
      </w:r>
      <w:r>
        <w:rPr>
          <w:rFonts w:cs="Times New Roman"/>
          <w:b/>
          <w:bCs/>
          <w:sz w:val="28"/>
          <w:szCs w:val="28"/>
        </w:rPr>
        <w:t>Flounder</w:t>
      </w:r>
      <w:r>
        <w:rPr>
          <w:rFonts w:cs="Times New Roman"/>
          <w:sz w:val="28"/>
          <w:szCs w:val="28"/>
        </w:rPr>
        <w:t xml:space="preserve"> </w:t>
      </w:r>
    </w:p>
    <w:p>
      <w:pPr>
        <w:pStyle w:val="Normal"/>
        <w:tabs>
          <w:tab w:val="clear" w:pos="709"/>
          <w:tab w:val="left" w:pos="5400" w:leader="none"/>
        </w:tabs>
        <w:bidi w:val="0"/>
        <w:spacing w:before="0" w:after="0"/>
        <w:jc w:val="left"/>
        <w:rPr>
          <w:rFonts w:cs="Times New Roman"/>
          <w:b/>
          <w:b/>
          <w:bCs/>
          <w:sz w:val="28"/>
          <w:szCs w:val="28"/>
        </w:rPr>
      </w:pPr>
      <w:r>
        <w:rPr>
          <w:rFonts w:cs="Times New Roman"/>
          <w:i/>
          <w:sz w:val="28"/>
          <w:szCs w:val="28"/>
        </w:rPr>
        <w:t>Platichthys flesus</w:t>
      </w:r>
      <w:r>
        <w:rPr>
          <w:rFonts w:cs="Times New Roman"/>
          <w:sz w:val="28"/>
          <w:szCs w:val="28"/>
        </w:rPr>
        <w:t xml:space="preserve"> (European flounder) and </w:t>
      </w:r>
      <w:r>
        <w:rPr>
          <w:rFonts w:cs="Times New Roman"/>
          <w:i/>
          <w:sz w:val="28"/>
          <w:szCs w:val="28"/>
        </w:rPr>
        <w:t>Platichthys solemdali</w:t>
      </w:r>
      <w:r>
        <w:rPr>
          <w:rFonts w:cs="Times New Roman"/>
          <w:sz w:val="28"/>
          <w:szCs w:val="28"/>
        </w:rPr>
        <w:t xml:space="preserve"> (Baltic flounder)</w:t>
      </w:r>
    </w:p>
    <w:p>
      <w:pPr>
        <w:pStyle w:val="Normal"/>
        <w:bidi w:val="0"/>
        <w:spacing w:before="0" w:after="0"/>
        <w:jc w:val="left"/>
        <w:rPr>
          <w:rFonts w:cs="Times New Roman"/>
          <w:i/>
          <w:i/>
          <w:sz w:val="28"/>
          <w:szCs w:val="28"/>
        </w:rPr>
      </w:pPr>
      <w:r>
        <w:rPr>
          <w:rFonts w:cs="Times New Roman"/>
          <w:sz w:val="28"/>
          <w:szCs w:val="28"/>
        </w:rPr>
        <w:t xml:space="preserve">Order: </w:t>
      </w:r>
      <w:r>
        <w:rPr>
          <w:rFonts w:cs="Times New Roman"/>
          <w:i/>
          <w:sz w:val="28"/>
          <w:szCs w:val="28"/>
        </w:rPr>
        <w:t>Pleuronectiformes</w:t>
      </w:r>
    </w:p>
    <w:p>
      <w:pPr>
        <w:pStyle w:val="Normal"/>
        <w:bidi w:val="0"/>
        <w:spacing w:before="0" w:after="0"/>
        <w:jc w:val="left"/>
        <w:rPr>
          <w:rFonts w:cs="Times New Roman"/>
          <w:sz w:val="28"/>
          <w:szCs w:val="28"/>
        </w:rPr>
      </w:pPr>
      <w:r>
        <w:rPr>
          <w:rFonts w:cs="Times New Roman"/>
          <w:sz w:val="28"/>
          <w:szCs w:val="28"/>
        </w:rPr>
        <w:t xml:space="preserve">Family: </w:t>
      </w:r>
      <w:r>
        <w:rPr>
          <w:rFonts w:cs="Times New Roman"/>
          <w:i/>
          <w:sz w:val="28"/>
          <w:szCs w:val="28"/>
        </w:rPr>
        <w:t>Pleuronectidae</w:t>
      </w:r>
    </w:p>
    <w:p>
      <w:pPr>
        <w:pStyle w:val="Normal"/>
        <w:bidi w:val="0"/>
        <w:spacing w:before="0" w:after="0"/>
        <w:jc w:val="left"/>
        <w:rPr>
          <w:rFonts w:cs="Times New Roman"/>
          <w:sz w:val="28"/>
          <w:szCs w:val="28"/>
        </w:rPr>
      </w:pPr>
      <w:r>
        <w:rPr>
          <w:rFonts w:cs="Times New Roman"/>
          <w:sz w:val="28"/>
          <w:szCs w:val="28"/>
        </w:rPr>
      </w:r>
    </w:p>
    <w:p>
      <w:pPr>
        <w:pStyle w:val="Normal"/>
        <w:bidi w:val="0"/>
        <w:spacing w:before="0" w:after="0"/>
        <w:jc w:val="left"/>
        <w:rPr>
          <w:rFonts w:cs="Times New Roman"/>
          <w:sz w:val="28"/>
          <w:szCs w:val="28"/>
        </w:rPr>
      </w:pPr>
      <w:r>
        <w:rPr>
          <w:rFonts w:cs="Times New Roman"/>
          <w:i w:val="false"/>
          <w:iCs w:val="false"/>
          <w:sz w:val="28"/>
          <w:szCs w:val="28"/>
        </w:rPr>
        <w:t>External appearance</w:t>
      </w:r>
    </w:p>
    <w:p>
      <w:pPr>
        <w:pStyle w:val="Normal"/>
        <w:bidi w:val="0"/>
        <w:spacing w:before="0" w:after="0"/>
        <w:jc w:val="left"/>
        <w:rPr>
          <w:rFonts w:cs="Times New Roman"/>
          <w:sz w:val="28"/>
          <w:szCs w:val="28"/>
        </w:rPr>
      </w:pPr>
      <w:r>
        <w:rPr>
          <w:rFonts w:cs="Times New Roman"/>
          <w:i w:val="false"/>
          <w:iCs w:val="false"/>
          <w:sz w:val="28"/>
          <w:szCs w:val="28"/>
        </w:rPr>
        <w:t xml:space="preserve">Flounder can grow up to 50 cm long. Females are usually larger, males rarely exceed 35 cm in length. Flounder are able to change their body colour to match the colour of the seabed. </w:t>
      </w:r>
    </w:p>
    <w:p>
      <w:pPr>
        <w:pStyle w:val="Normal"/>
        <w:bidi w:val="0"/>
        <w:spacing w:before="0" w:after="0"/>
        <w:jc w:val="left"/>
        <w:rPr>
          <w:rFonts w:cs="Times New Roman"/>
          <w:sz w:val="28"/>
          <w:szCs w:val="28"/>
        </w:rPr>
      </w:pPr>
      <w:r>
        <w:rPr>
          <w:rFonts w:cs="Times New Roman"/>
          <w:sz w:val="28"/>
          <w:szCs w:val="28"/>
        </w:rPr>
      </w:r>
    </w:p>
    <w:p>
      <w:pPr>
        <w:pStyle w:val="Normal"/>
        <w:bidi w:val="0"/>
        <w:spacing w:before="0" w:after="0"/>
        <w:jc w:val="left"/>
        <w:rPr>
          <w:rFonts w:cs="Times New Roman"/>
          <w:sz w:val="28"/>
          <w:szCs w:val="28"/>
        </w:rPr>
      </w:pPr>
      <w:r>
        <w:rPr>
          <w:rFonts w:cs="Times New Roman"/>
          <w:i w:val="false"/>
          <w:iCs w:val="false"/>
          <w:sz w:val="28"/>
          <w:szCs w:val="28"/>
        </w:rPr>
        <w:t>Distribution</w:t>
      </w:r>
    </w:p>
    <w:p>
      <w:pPr>
        <w:pStyle w:val="Normal"/>
        <w:bidi w:val="0"/>
        <w:spacing w:before="0" w:after="0"/>
        <w:jc w:val="left"/>
        <w:rPr>
          <w:rFonts w:cs="Times New Roman"/>
          <w:sz w:val="28"/>
          <w:szCs w:val="28"/>
        </w:rPr>
      </w:pPr>
      <w:r>
        <w:rPr>
          <w:rFonts w:cs="Times New Roman"/>
          <w:i w:val="false"/>
          <w:iCs w:val="false"/>
          <w:sz w:val="28"/>
          <w:szCs w:val="28"/>
        </w:rPr>
        <w:t>Flounder inhabit the Atlantic’s northeast coastal areas. It is well adapted to waters with low salinity and is therefore widespread throughout the Baltic Sea.</w:t>
      </w:r>
    </w:p>
    <w:p>
      <w:pPr>
        <w:pStyle w:val="Normal"/>
        <w:bidi w:val="0"/>
        <w:spacing w:before="0" w:after="0"/>
        <w:jc w:val="left"/>
        <w:rPr>
          <w:rFonts w:cs="Times New Roman"/>
          <w:sz w:val="28"/>
          <w:szCs w:val="28"/>
        </w:rPr>
      </w:pPr>
      <w:r>
        <w:rPr>
          <w:rFonts w:cs="Times New Roman"/>
          <w:sz w:val="28"/>
          <w:szCs w:val="28"/>
        </w:rPr>
      </w:r>
    </w:p>
    <w:p>
      <w:pPr>
        <w:pStyle w:val="Normal"/>
        <w:bidi w:val="0"/>
        <w:spacing w:before="0" w:after="0"/>
        <w:jc w:val="left"/>
        <w:rPr>
          <w:rFonts w:cs="Times New Roman"/>
          <w:sz w:val="28"/>
          <w:szCs w:val="28"/>
        </w:rPr>
      </w:pPr>
      <w:r>
        <w:rPr>
          <w:rFonts w:cs="Times New Roman"/>
          <w:i w:val="false"/>
          <w:iCs w:val="false"/>
          <w:sz w:val="28"/>
          <w:szCs w:val="28"/>
        </w:rPr>
        <w:t>Diet</w:t>
      </w:r>
    </w:p>
    <w:p>
      <w:pPr>
        <w:pStyle w:val="Normal"/>
        <w:bidi w:val="0"/>
        <w:spacing w:before="0" w:after="0"/>
        <w:jc w:val="left"/>
        <w:rPr>
          <w:rFonts w:cs="Times New Roman"/>
          <w:sz w:val="28"/>
          <w:szCs w:val="28"/>
        </w:rPr>
      </w:pPr>
      <w:r>
        <w:rPr>
          <w:rFonts w:cs="Times New Roman"/>
          <w:i w:val="false"/>
          <w:iCs w:val="false"/>
          <w:sz w:val="28"/>
          <w:szCs w:val="28"/>
        </w:rPr>
        <w:t>The main food of flounder larvae is plankton floating freely in the sea. As the juveniles grow up, they start feeding on molluscs. Larger flounder will also eat small fish.</w:t>
      </w:r>
    </w:p>
    <w:p>
      <w:pPr>
        <w:pStyle w:val="Normal"/>
        <w:bidi w:val="0"/>
        <w:spacing w:before="0" w:after="0"/>
        <w:jc w:val="left"/>
        <w:rPr>
          <w:rFonts w:cs="Times New Roman"/>
          <w:sz w:val="28"/>
          <w:szCs w:val="28"/>
        </w:rPr>
      </w:pPr>
      <w:r>
        <w:rPr>
          <w:rFonts w:cs="Times New Roman"/>
          <w:sz w:val="28"/>
          <w:szCs w:val="28"/>
        </w:rPr>
      </w:r>
    </w:p>
    <w:p>
      <w:pPr>
        <w:pStyle w:val="Normal"/>
        <w:bidi w:val="0"/>
        <w:spacing w:before="0" w:after="0"/>
        <w:jc w:val="left"/>
        <w:rPr>
          <w:rFonts w:cs="Times New Roman"/>
          <w:sz w:val="28"/>
          <w:szCs w:val="28"/>
        </w:rPr>
      </w:pPr>
      <w:r>
        <w:rPr>
          <w:rFonts w:cs="Times New Roman"/>
          <w:i w:val="false"/>
          <w:iCs w:val="false"/>
          <w:sz w:val="28"/>
          <w:szCs w:val="28"/>
        </w:rPr>
        <w:t>Development</w:t>
      </w:r>
    </w:p>
    <w:p>
      <w:pPr>
        <w:pStyle w:val="Normal"/>
        <w:bidi w:val="0"/>
        <w:spacing w:before="0" w:after="0"/>
        <w:jc w:val="left"/>
        <w:rPr>
          <w:rFonts w:cs="Times New Roman"/>
          <w:sz w:val="28"/>
          <w:szCs w:val="28"/>
        </w:rPr>
      </w:pPr>
      <w:r>
        <w:rPr>
          <w:rFonts w:cs="Times New Roman"/>
          <w:i w:val="false"/>
          <w:iCs w:val="false"/>
          <w:sz w:val="28"/>
          <w:szCs w:val="28"/>
        </w:rPr>
        <w:t xml:space="preserve">Flounder spawn from March to June. The larvae are pelagic, and with eyes on both sides of the body. When they reach a length of 7–10 mm, the larvae change from a symmetrical fish to a flat one, seemingly “flopping” over to one side, with both eyes on top of the body. </w:t>
      </w:r>
    </w:p>
    <w:p>
      <w:pPr>
        <w:pStyle w:val="Normal"/>
        <w:bidi w:val="0"/>
        <w:spacing w:before="0" w:after="0"/>
        <w:jc w:val="left"/>
        <w:rPr>
          <w:rFonts w:cs="Times New Roman"/>
          <w:sz w:val="28"/>
          <w:szCs w:val="28"/>
        </w:rPr>
      </w:pPr>
      <w:r>
        <w:rPr>
          <w:rFonts w:cs="Times New Roman"/>
          <w:sz w:val="28"/>
          <w:szCs w:val="28"/>
        </w:rPr>
      </w:r>
    </w:p>
    <w:p>
      <w:pPr>
        <w:pStyle w:val="Normal"/>
        <w:bidi w:val="0"/>
        <w:spacing w:before="0" w:after="0"/>
        <w:jc w:val="left"/>
        <w:rPr>
          <w:rFonts w:cs="Times New Roman"/>
          <w:sz w:val="28"/>
          <w:szCs w:val="28"/>
        </w:rPr>
      </w:pPr>
      <w:r>
        <w:rPr>
          <w:rFonts w:cs="Times New Roman"/>
          <w:i w:val="false"/>
          <w:iCs w:val="false"/>
          <w:sz w:val="28"/>
          <w:szCs w:val="28"/>
        </w:rPr>
        <w:t>Fishing</w:t>
      </w:r>
    </w:p>
    <w:p>
      <w:pPr>
        <w:pStyle w:val="Normal"/>
        <w:bidi w:val="0"/>
        <w:spacing w:before="0" w:after="0"/>
        <w:jc w:val="left"/>
        <w:rPr>
          <w:rFonts w:cs="Times New Roman"/>
          <w:sz w:val="28"/>
          <w:szCs w:val="28"/>
        </w:rPr>
      </w:pPr>
      <w:r>
        <w:rPr>
          <w:rFonts w:cs="Times New Roman"/>
          <w:i w:val="false"/>
          <w:iCs w:val="false"/>
          <w:sz w:val="28"/>
          <w:szCs w:val="28"/>
        </w:rPr>
        <w:t>Flounder is an important fishery and angling species; it is fished from the shore using bottom fishing rods.</w:t>
      </w:r>
    </w:p>
    <w:p>
      <w:pPr>
        <w:pStyle w:val="Normal"/>
        <w:bidi w:val="0"/>
        <w:spacing w:before="0" w:after="0"/>
        <w:jc w:val="left"/>
        <w:rPr>
          <w:rFonts w:cs="Times New Roman"/>
          <w:sz w:val="28"/>
          <w:szCs w:val="28"/>
        </w:rPr>
      </w:pPr>
      <w:r>
        <w:rPr>
          <w:rFonts w:cs="Times New Roman"/>
          <w:i w:val="false"/>
          <w:iCs w:val="false"/>
          <w:sz w:val="28"/>
          <w:szCs w:val="28"/>
        </w:rPr>
        <w:t xml:space="preserve"> </w:t>
      </w:r>
    </w:p>
    <w:p>
      <w:pPr>
        <w:pStyle w:val="Normal"/>
        <w:bidi w:val="0"/>
        <w:spacing w:before="0" w:after="0"/>
        <w:jc w:val="left"/>
        <w:rPr>
          <w:rFonts w:cs="Times New Roman"/>
          <w:sz w:val="28"/>
          <w:szCs w:val="28"/>
        </w:rPr>
      </w:pPr>
      <w:r>
        <w:rPr>
          <w:rFonts w:cs="Times New Roman"/>
          <w:i w:val="false"/>
          <w:iCs w:val="false"/>
          <w:sz w:val="28"/>
          <w:szCs w:val="28"/>
        </w:rPr>
        <w:t>Interesting facts</w:t>
      </w:r>
    </w:p>
    <w:p>
      <w:pPr>
        <w:pStyle w:val="Normal"/>
        <w:bidi w:val="0"/>
        <w:spacing w:before="0" w:after="0"/>
        <w:jc w:val="left"/>
        <w:rPr>
          <w:rFonts w:cs="Times New Roman"/>
          <w:sz w:val="28"/>
          <w:szCs w:val="28"/>
        </w:rPr>
      </w:pPr>
      <w:r>
        <w:rPr>
          <w:rFonts w:cs="Times New Roman"/>
          <w:i w:val="false"/>
          <w:iCs w:val="false"/>
          <w:sz w:val="28"/>
          <w:szCs w:val="28"/>
        </w:rPr>
        <w:t>Using genetic sequencing, scientists discovered in 2018 that there are two flounder species that are similar in appearance but differ in their spawning behaviour. European flounder spawn at depth and have free-floating eggs, whereas Baltic flounder spawn in the shallows and deposit their eggs on the seabed.</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Devanagari"/>
      <w:color w:val="auto"/>
      <w:kern w:val="2"/>
      <w:sz w:val="24"/>
      <w:szCs w:val="24"/>
      <w:lang w:val="en-US" w:eastAsia="zh-CN" w:bidi="hi-IN"/>
    </w:rPr>
  </w:style>
  <w:style w:type="paragraph" w:styleId="Virsraksts">
    <w:name w:val="Virsraksts"/>
    <w:basedOn w:val="Normal"/>
    <w:next w:val="Pamatteksts"/>
    <w:qFormat/>
    <w:pPr>
      <w:keepNext w:val="true"/>
      <w:spacing w:before="240" w:after="120"/>
    </w:pPr>
    <w:rPr>
      <w:rFonts w:ascii="Liberation Sans" w:hAnsi="Liberation Sans" w:eastAsia="Noto Sans CJK SC" w:cs="Noto Sans Devanagari"/>
      <w:sz w:val="28"/>
      <w:szCs w:val="28"/>
    </w:rPr>
  </w:style>
  <w:style w:type="paragraph" w:styleId="Pamatteksts">
    <w:name w:val="Body Text"/>
    <w:basedOn w:val="Normal"/>
    <w:pPr>
      <w:spacing w:lineRule="auto" w:line="276" w:before="0" w:after="140"/>
    </w:pPr>
    <w:rPr/>
  </w:style>
  <w:style w:type="paragraph" w:styleId="Saraksts">
    <w:name w:val="List"/>
    <w:basedOn w:val="Pamatteksts"/>
    <w:pPr/>
    <w:rPr>
      <w:rFonts w:cs="Noto Sans Devanagari"/>
    </w:rPr>
  </w:style>
  <w:style w:type="paragraph" w:styleId="Parakstsobjektam">
    <w:name w:val="Caption"/>
    <w:basedOn w:val="Normal"/>
    <w:qFormat/>
    <w:pPr>
      <w:suppressLineNumbers/>
      <w:spacing w:before="120" w:after="120"/>
    </w:pPr>
    <w:rPr>
      <w:rFonts w:cs="Noto Sans Devanagari"/>
      <w:i/>
      <w:iCs/>
      <w:sz w:val="24"/>
      <w:szCs w:val="24"/>
    </w:rPr>
  </w:style>
  <w:style w:type="paragraph" w:styleId="Rdtjs">
    <w:name w:val="Rādītājs"/>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LibreOffice/7.2.5.2$Linux_X86_64 LibreOffice_project/20$Build-2</Application>
  <AppVersion>15.0000</AppVersion>
  <Pages>1</Pages>
  <Words>228</Words>
  <Characters>1189</Characters>
  <CharactersWithSpaces>1404</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2021-11-13T13:07:07Z</dcterms:created>
  <dc:creator/>
  <dc:description/>
  <dc:language>en-US</dc:language>
  <cp:lastModifiedBy/>
  <dcterms:modified xsi:type="dcterms:W3CDTF">2022-02-25T15:25:39Z</dcterms:modified>
  <cp:revision>3</cp:revision>
  <dc:subject/>
  <dc:title/>
</cp:coreProperties>
</file>