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BROUILLON — non envoyé · lundi 28 septembre 2026 · Données fictives — démonstration Basira Conseil.</w:t>
      </w:r>
    </w:p>
    <w:p>
      <w:pPr>
        <w:pStyle w:val="Heading1"/>
      </w:pPr>
      <w:r>
        <w:t>Proposition — Atelier « IA pour les opérations »</w:t>
      </w:r>
    </w:p>
    <w:p>
      <w:r>
        <w:t>Client : Transports Ardelis · À l'attention de Sarah Martin, directrice des opérations</w:t>
      </w:r>
    </w:p>
    <w:p>
      <w:r>
        <w:t>Préparée par : Yasmine Haddad, Basira Conseil</w:t>
      </w:r>
    </w:p>
    <w:p>
      <w:pPr>
        <w:pStyle w:val="Heading2"/>
      </w:pPr>
      <w:r>
        <w:t>Périmètre</w:t>
      </w:r>
    </w:p>
    <w:p>
      <w:pPr>
        <w:pStyle w:val="ListBullet"/>
      </w:pPr>
      <w:r>
        <w:t>Atelier dirigeants d'une journée, jusqu'à 12 participants, sur site à Saint-Priest</w:t>
      </w:r>
    </w:p>
    <w:p>
      <w:pPr>
        <w:pStyle w:val="ListBullet"/>
      </w:pPr>
      <w:r>
        <w:t>Deux exercices sur mesure sur données anonymisées : devis de transport, réponses aux emails clients</w:t>
      </w:r>
    </w:p>
    <w:p>
      <w:pPr>
        <w:pStyle w:val="ListBullet"/>
      </w:pPr>
      <w:r>
        <w:t>Suivi post-atelier : deux demi-journées dans le mois suivant</w:t>
      </w:r>
    </w:p>
    <w:p>
      <w:pPr>
        <w:pStyle w:val="Heading2"/>
      </w:pPr>
      <w: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Poste</w:t>
            </w:r>
          </w:p>
        </w:tc>
        <w:tc>
          <w:tcPr>
            <w:tcW w:type="dxa" w:w="4320"/>
          </w:tcPr>
          <w:p>
            <w:r>
              <w:t>Montant HT</w:t>
            </w:r>
          </w:p>
        </w:tc>
      </w:tr>
      <w:tr>
        <w:tc>
          <w:tcPr>
            <w:tcW w:type="dxa" w:w="4320"/>
          </w:tcPr>
          <w:p>
            <w:r>
              <w:t>Atelier dirigeants (1 jour, jusqu'à 12 participants)</w:t>
            </w:r>
          </w:p>
        </w:tc>
        <w:tc>
          <w:tcPr>
            <w:tcW w:type="dxa" w:w="4320"/>
          </w:tcPr>
          <w:p>
            <w:r>
              <w:t>9 500 €</w:t>
            </w:r>
          </w:p>
        </w:tc>
      </w:tr>
      <w:tr>
        <w:tc>
          <w:tcPr>
            <w:tcW w:type="dxa" w:w="4320"/>
          </w:tcPr>
          <w:p>
            <w:r>
              <w:t>Exercices sur mesure</w:t>
            </w:r>
          </w:p>
        </w:tc>
        <w:tc>
          <w:tcPr>
            <w:tcW w:type="dxa" w:w="4320"/>
          </w:tcPr>
          <w:p>
            <w:r>
              <w:t>5 500 €</w:t>
            </w:r>
          </w:p>
        </w:tc>
      </w:tr>
      <w:tr>
        <w:tc>
          <w:tcPr>
            <w:tcW w:type="dxa" w:w="4320"/>
          </w:tcPr>
          <w:p>
            <w:r>
              <w:t>Suivi post-atelier (2 demi-journées)</w:t>
            </w:r>
          </w:p>
        </w:tc>
        <w:tc>
          <w:tcPr>
            <w:tcW w:type="dxa" w:w="4320"/>
          </w:tcPr>
          <w:p>
            <w:r>
              <w:t>3 000 €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18 000 € HT</w:t>
            </w:r>
          </w:p>
        </w:tc>
      </w:tr>
    </w:tbl>
    <w:p>
      <w:r>
        <w:t>Date proposée : mercredi 14 ou jeudi 15 octobre 2026 (à confirmer).</w:t>
      </w:r>
    </w:p>
    <w:p>
      <w:r>
        <w:t>Conditions : acompte de 50 % à la signature, solde à 30 jours après l'atelier.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Basira Conseil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