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  <Override PartName="/word/media/rId25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Virginia</w:t>
      </w:r>
      <w:r>
        <w:t xml:space="preserve"> </w:t>
      </w:r>
      <w:r>
        <w:t xml:space="preserve">Beach</w:t>
      </w:r>
      <w:r>
        <w:t xml:space="preserve"> </w:t>
      </w:r>
      <w:r>
        <w:t xml:space="preserve">Housing</w:t>
      </w:r>
      <w:r>
        <w:t xml:space="preserve"> </w:t>
      </w:r>
      <w:r>
        <w:t xml:space="preserve">Study</w:t>
      </w:r>
      <w:r>
        <w:t xml:space="preserve"> </w:t>
      </w:r>
      <w:r>
        <w:t xml:space="preserve">Update</w:t>
      </w:r>
    </w:p>
    <w:p>
      <w:pPr>
        <w:pStyle w:val="Author"/>
      </w:pPr>
      <w:r>
        <w:t xml:space="preserve">Virginia</w:t>
      </w:r>
      <w:r>
        <w:t xml:space="preserve"> </w:t>
      </w: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Housing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HousingForward</w:t>
      </w:r>
      <w:r>
        <w:t xml:space="preserve"> </w:t>
      </w:r>
      <w:r>
        <w:t xml:space="preserve">Virginia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"/>
    <w:p>
      <w:pPr>
        <w:pStyle w:val="Heading1"/>
      </w:pPr>
      <w:r>
        <w:t xml:space="preserve">About</w:t>
      </w:r>
    </w:p>
    <w:bookmarkStart w:id="32" w:name="test-content"/>
    <w:p>
      <w:pPr>
        <w:pStyle w:val="Heading2"/>
      </w:pPr>
      <w:r>
        <w:t xml:space="preserve">Test content</w:t>
      </w:r>
    </w:p>
    <w:p>
      <w:pPr>
        <w:pStyle w:val="FirstParagraph"/>
      </w:pPr>
      <w:r>
        <w:t xml:space="preserve">Unordered list:</w:t>
      </w:r>
    </w:p>
    <w:p>
      <w:pPr>
        <w:numPr>
          <w:ilvl w:val="0"/>
          <w:numId w:val="1001"/>
        </w:numPr>
        <w:pStyle w:val="Compact"/>
      </w:pPr>
      <w:r>
        <w:t xml:space="preserve">This</w:t>
      </w:r>
    </w:p>
    <w:p>
      <w:pPr>
        <w:numPr>
          <w:ilvl w:val="0"/>
          <w:numId w:val="1001"/>
        </w:numPr>
        <w:pStyle w:val="Compact"/>
      </w:pPr>
      <w:r>
        <w:t xml:space="preserve">is</w:t>
      </w:r>
    </w:p>
    <w:p>
      <w:pPr>
        <w:numPr>
          <w:ilvl w:val="1"/>
          <w:numId w:val="1002"/>
        </w:numPr>
        <w:pStyle w:val="Compact"/>
      </w:pPr>
      <w:r>
        <w:t xml:space="preserve">a</w:t>
      </w:r>
    </w:p>
    <w:p>
      <w:pPr>
        <w:numPr>
          <w:ilvl w:val="1"/>
          <w:numId w:val="1002"/>
        </w:numPr>
        <w:pStyle w:val="Compact"/>
      </w:pPr>
      <w:r>
        <w:t xml:space="preserve">list</w:t>
      </w:r>
    </w:p>
    <w:p>
      <w:pPr>
        <w:pStyle w:val="FirstParagraph"/>
      </w:pPr>
      <w:r>
        <w:t xml:space="preserve">Numbered list:</w:t>
      </w:r>
    </w:p>
    <w:p>
      <w:pPr>
        <w:numPr>
          <w:ilvl w:val="0"/>
          <w:numId w:val="1003"/>
        </w:numPr>
        <w:pStyle w:val="Compact"/>
      </w:pPr>
      <w:r>
        <w:t xml:space="preserve">One</w:t>
      </w:r>
    </w:p>
    <w:p>
      <w:pPr>
        <w:numPr>
          <w:ilvl w:val="0"/>
          <w:numId w:val="1003"/>
        </w:numPr>
        <w:pStyle w:val="Compact"/>
      </w:pPr>
      <w:r>
        <w:t xml:space="preserve">Two</w:t>
      </w:r>
    </w:p>
    <w:p>
      <w:pPr>
        <w:numPr>
          <w:ilvl w:val="0"/>
          <w:numId w:val="1003"/>
        </w:numPr>
        <w:pStyle w:val="Compact"/>
      </w:pPr>
      <w:r>
        <w:t xml:space="preserve">Three</w:t>
      </w:r>
    </w:p>
    <w:p>
      <w:pPr>
        <w:pStyle w:val="FirstParagraph"/>
      </w:pPr>
      <w:r>
        <w:t xml:space="preserve">Here is a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This is the definition</w:t>
      </w:r>
    </w:p>
    <w:p>
      <w:pPr>
        <w:pStyle w:val="FirstParagraph"/>
      </w:pPr>
      <w:r>
        <w:t xml:space="preserve">This is a footnote.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This is a citation</w:t>
      </w:r>
      <w:r>
        <w:t xml:space="preserve"> </w:t>
      </w:r>
      <w:r>
        <w:t xml:space="preserve">(Last 2023)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lockText"/>
      </w:pPr>
      <w:r>
        <w:t xml:space="preserve">This is a blockquote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Users\Jonathan\AppData\Local\Programs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This is a 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the text inside of a callout.</w:t>
            </w:r>
          </w:p>
        </w:tc>
      </w:tr>
    </w:tbl>
    <w:p>
      <w:pPr>
        <w:pStyle w:val="BodyText"/>
      </w:pPr>
      <w:r>
        <w:t xml:space="preserve">Here is an image: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g/hfv_logo.jp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HousingForward Virginia logo</w:t>
            </w:r>
          </w:p>
        </w:tc>
      </w:tr>
    </w:tbl>
    <w:p>
      <w:pPr>
        <w:pStyle w:val="BodyText"/>
      </w:pPr>
      <w:r>
        <w:t xml:space="preserve">Here is a figure generated by code:</w:t>
      </w:r>
    </w:p>
    <w:p>
      <w:pPr>
        <w:pStyle w:val="SourceCode"/>
      </w:pPr>
      <w:r>
        <w:rPr>
          <w:rStyle w:val="NormalTok"/>
        </w:rPr>
        <w:t xml:space="preserve">lihtc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"data/lihtc.csv"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34 Columns: 2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(2): year, units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fig_lihtc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(lihtc,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units))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"#3a9f9c"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"LIHTC Finances More Than 50,000 New Homes Annually"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construction LIHTC units, by year placed in service, in thousands"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"**Source:** Urban Institute analysis of National Housing Preservation Database (2023).&lt;br&gt;**Note:** Includes 4 and 9 percent LIHTC."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add_zero_line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fig_lihtc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lihtc"/>
          <w:p>
            <w:pPr>
              <w:jc w:val="left"/>
            </w:pPr>
            <w:r>
              <w:drawing>
                <wp:inline>
                  <wp:extent cx="4620126" cy="2849077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lihtc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84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1: Annual LIHTC production from 1985 to 2019</w:t>
            </w:r>
          </w:p>
          <w:bookmarkEnd w:id="31"/>
        </w:tc>
      </w:tr>
    </w:tbl>
    <w:bookmarkEnd w:id="32"/>
    <w:bookmarkStart w:id="33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Current outline:</w:t>
      </w:r>
    </w:p>
    <w:p>
      <w:pPr>
        <w:pStyle w:val="SourceCode"/>
      </w:pPr>
      <w:r>
        <w:rPr>
          <w:rStyle w:val="VerbatimChar"/>
        </w:rPr>
        <w:t xml:space="preserve">Executive summary</w:t>
      </w:r>
      <w:r>
        <w:br/>
      </w:r>
      <w:r>
        <w:br/>
      </w:r>
      <w:r>
        <w:rPr>
          <w:rStyle w:val="VerbatimChar"/>
        </w:rPr>
        <w:t xml:space="preserve">Preface</w:t>
      </w:r>
      <w:r>
        <w:br/>
      </w:r>
      <w:r>
        <w:rPr>
          <w:rStyle w:val="VerbatimChar"/>
        </w:rPr>
        <w:t xml:space="preserve">└── About VCHR and HFV</w:t>
      </w:r>
      <w:r>
        <w:br/>
      </w:r>
      <w:r>
        <w:rPr>
          <w:rStyle w:val="VerbatimChar"/>
        </w:rPr>
        <w:t xml:space="preserve">└── Acknowledgements</w:t>
      </w:r>
      <w:r>
        <w:br/>
      </w:r>
      <w:r>
        <w:rPr>
          <w:rStyle w:val="VerbatimChar"/>
        </w:rPr>
        <w:t xml:space="preserve">└── Scope of work and process</w:t>
      </w:r>
      <w:r>
        <w:br/>
      </w:r>
      <w:r>
        <w:br/>
      </w:r>
      <w:r>
        <w:rPr>
          <w:rStyle w:val="VerbatimChar"/>
        </w:rPr>
        <w:t xml:space="preserve">Introduction</w:t>
      </w:r>
      <w:r>
        <w:br/>
      </w:r>
      <w:r>
        <w:rPr>
          <w:rStyle w:val="VerbatimChar"/>
        </w:rPr>
        <w:t xml:space="preserve">└── Major changes since 2016</w:t>
      </w:r>
      <w:r>
        <w:br/>
      </w:r>
      <w:r>
        <w:br/>
      </w:r>
      <w:r>
        <w:rPr>
          <w:rStyle w:val="VerbatimChar"/>
        </w:rPr>
        <w:t xml:space="preserve">Data and methodological notes</w:t>
      </w:r>
      <w:r>
        <w:br/>
      </w:r>
      <w:r>
        <w:rPr>
          <w:rStyle w:val="VerbatimChar"/>
        </w:rPr>
        <w:t xml:space="preserve">└── Quantitative analysis</w:t>
      </w:r>
      <w:r>
        <w:br/>
      </w:r>
      <w:r>
        <w:rPr>
          <w:rStyle w:val="VerbatimChar"/>
        </w:rPr>
        <w:t xml:space="preserve">└── Qualitative analysis</w:t>
      </w:r>
      <w:r>
        <w:br/>
      </w:r>
      <w:r>
        <w:br/>
      </w:r>
      <w:r>
        <w:rPr>
          <w:rStyle w:val="VerbatimChar"/>
        </w:rPr>
        <w:t xml:space="preserve">Important terms and references</w:t>
      </w:r>
      <w:r>
        <w:br/>
      </w:r>
      <w:r>
        <w:br/>
      </w:r>
      <w:r>
        <w:rPr>
          <w:rStyle w:val="VerbatimChar"/>
        </w:rPr>
        <w:t xml:space="preserve">Household characteristics</w:t>
      </w:r>
      <w:r>
        <w:br/>
      </w:r>
      <w:r>
        <w:rPr>
          <w:rStyle w:val="VerbatimChar"/>
        </w:rPr>
        <w:t xml:space="preserve">└── Household demographics</w:t>
      </w:r>
      <w:r>
        <w:br/>
      </w:r>
      <w:r>
        <w:rPr>
          <w:rStyle w:val="VerbatimChar"/>
        </w:rPr>
        <w:t xml:space="preserve">└── Household composition and living arrangement</w:t>
      </w:r>
      <w:r>
        <w:br/>
      </w:r>
      <w:r>
        <w:rPr>
          <w:rStyle w:val="VerbatimChar"/>
        </w:rPr>
        <w:t xml:space="preserve">└── Households by tenure</w:t>
      </w:r>
      <w:r>
        <w:br/>
      </w:r>
      <w:r>
        <w:br/>
      </w:r>
      <w:r>
        <w:rPr>
          <w:rStyle w:val="VerbatimChar"/>
        </w:rPr>
        <w:t xml:space="preserve">Market dynamics</w:t>
      </w:r>
      <w:r>
        <w:br/>
      </w:r>
      <w:r>
        <w:rPr>
          <w:rStyle w:val="VerbatimChar"/>
        </w:rPr>
        <w:t xml:space="preserve">└── Rental</w:t>
      </w:r>
      <w:r>
        <w:br/>
      </w:r>
      <w:r>
        <w:rPr>
          <w:rStyle w:val="VerbatimChar"/>
        </w:rPr>
        <w:t xml:space="preserve">└── Homeownership</w:t>
      </w:r>
      <w:r>
        <w:br/>
      </w:r>
      <w:r>
        <w:rPr>
          <w:rStyle w:val="VerbatimChar"/>
        </w:rPr>
        <w:t xml:space="preserve">└── Vacant housing</w:t>
      </w:r>
      <w:r>
        <w:br/>
      </w:r>
      <w:r>
        <w:br/>
      </w:r>
      <w:r>
        <w:rPr>
          <w:rStyle w:val="VerbatimChar"/>
        </w:rPr>
        <w:t xml:space="preserve">Housing affordability</w:t>
      </w:r>
      <w:r>
        <w:br/>
      </w:r>
      <w:r>
        <w:rPr>
          <w:rStyle w:val="VerbatimChar"/>
        </w:rPr>
        <w:t xml:space="preserve">└── Workforce housing affordability</w:t>
      </w:r>
      <w:r>
        <w:br/>
      </w:r>
      <w:r>
        <w:rPr>
          <w:rStyle w:val="VerbatimChar"/>
        </w:rPr>
        <w:t xml:space="preserve">└── Affordable housing</w:t>
      </w:r>
      <w:r>
        <w:br/>
      </w:r>
      <w:r>
        <w:rPr>
          <w:rStyle w:val="VerbatimChar"/>
        </w:rPr>
        <w:t xml:space="preserve">└── Owned/for─sale gap analysis</w:t>
      </w:r>
      <w:r>
        <w:br/>
      </w:r>
      <w:r>
        <w:rPr>
          <w:rStyle w:val="VerbatimChar"/>
        </w:rPr>
        <w:t xml:space="preserve">└── Naturally occurring affordable housing (NOAH)</w:t>
      </w:r>
      <w:r>
        <w:br/>
      </w:r>
      <w:r>
        <w:br/>
      </w:r>
      <w:r>
        <w:rPr>
          <w:rStyle w:val="VerbatimChar"/>
        </w:rPr>
        <w:t xml:space="preserve">Conclusions</w:t>
      </w:r>
      <w:r>
        <w:br/>
      </w:r>
      <w:r>
        <w:br/>
      </w:r>
      <w:r>
        <w:rPr>
          <w:rStyle w:val="VerbatimChar"/>
        </w:rPr>
        <w:t xml:space="preserve">Solutions</w:t>
      </w:r>
      <w:r>
        <w:br/>
      </w:r>
      <w:r>
        <w:rPr>
          <w:rStyle w:val="VerbatimChar"/>
        </w:rPr>
        <w:t xml:space="preserve">└── Overview</w:t>
      </w:r>
      <w:r>
        <w:br/>
      </w:r>
      <w:r>
        <w:rPr>
          <w:rStyle w:val="VerbatimChar"/>
        </w:rPr>
        <w:t xml:space="preserve">└── Strategic priorities</w:t>
      </w:r>
      <w:r>
        <w:br/>
      </w:r>
      <w:r>
        <w:rPr>
          <w:rStyle w:val="VerbatimChar"/>
        </w:rPr>
        <w:t xml:space="preserve">└── Easy wins</w:t>
      </w:r>
      <w:r>
        <w:br/>
      </w:r>
      <w:r>
        <w:rPr>
          <w:rStyle w:val="VerbatimChar"/>
        </w:rPr>
        <w:t xml:space="preserve">└── Background work</w:t>
      </w:r>
      <w:r>
        <w:br/>
      </w:r>
      <w:r>
        <w:br/>
      </w:r>
      <w:r>
        <w:rPr>
          <w:rStyle w:val="VerbatimChar"/>
        </w:rPr>
        <w:t xml:space="preserve">Appendices</w:t>
      </w:r>
      <w:r>
        <w:br/>
      </w:r>
      <w:r>
        <w:rPr>
          <w:rStyle w:val="VerbatimChar"/>
        </w:rPr>
        <w:t xml:space="preserve">└── Appendix 1: Public and expert engagement</w:t>
      </w:r>
      <w:r>
        <w:br/>
      </w:r>
      <w:r>
        <w:rPr>
          <w:rStyle w:val="VerbatimChar"/>
        </w:rPr>
        <w:t xml:space="preserve">└── Appendix 2: Workforce housing affordability analysis</w:t>
      </w:r>
      <w:r>
        <w:br/>
      </w:r>
      <w:r>
        <w:rPr>
          <w:rStyle w:val="VerbatimChar"/>
        </w:rPr>
        <w:t xml:space="preserve">└── Appendix 3: Naturally occurring affordable housing analysis</w:t>
      </w:r>
    </w:p>
    <w:p>
      <w:pPr>
        <w:pStyle w:val="FirstParagraph"/>
      </w:pPr>
      <w:r>
        <w:t xml:space="preserve">Revised outline?</w:t>
      </w:r>
    </w:p>
    <w:p>
      <w:pPr>
        <w:pStyle w:val="SourceCode"/>
      </w:pPr>
      <w:r>
        <w:rPr>
          <w:rStyle w:val="VerbatimChar"/>
        </w:rPr>
        <w:t xml:space="preserve">Executive summary</w:t>
      </w:r>
      <w:r>
        <w:br/>
      </w:r>
      <w:r>
        <w:br/>
      </w:r>
      <w:r>
        <w:rPr>
          <w:rStyle w:val="VerbatimChar"/>
        </w:rPr>
        <w:t xml:space="preserve">Preface</w:t>
      </w:r>
      <w:r>
        <w:br/>
      </w:r>
      <w:r>
        <w:rPr>
          <w:rStyle w:val="VerbatimChar"/>
        </w:rPr>
        <w:t xml:space="preserve">└── About VCHR and HFV</w:t>
      </w:r>
      <w:r>
        <w:br/>
      </w:r>
      <w:r>
        <w:rPr>
          <w:rStyle w:val="VerbatimChar"/>
        </w:rPr>
        <w:t xml:space="preserve">└── Acknowledgements</w:t>
      </w:r>
      <w:r>
        <w:br/>
      </w:r>
      <w:r>
        <w:rPr>
          <w:rStyle w:val="VerbatimChar"/>
        </w:rPr>
        <w:t xml:space="preserve">└── Scope of work and process</w:t>
      </w:r>
      <w:r>
        <w:br/>
      </w:r>
      <w:r>
        <w:br/>
      </w:r>
      <w:r>
        <w:rPr>
          <w:rStyle w:val="VerbatimChar"/>
        </w:rPr>
        <w:t xml:space="preserve">Introduction</w:t>
      </w:r>
      <w:r>
        <w:br/>
      </w:r>
      <w:r>
        <w:rPr>
          <w:rStyle w:val="VerbatimChar"/>
        </w:rPr>
        <w:t xml:space="preserve">└── Major changes since 2016</w:t>
      </w:r>
      <w:r>
        <w:br/>
      </w:r>
      <w:r>
        <w:rPr>
          <w:rStyle w:val="VerbatimChar"/>
        </w:rPr>
        <w:t xml:space="preserve">└── Data and methodological notes</w:t>
      </w:r>
      <w:r>
        <w:br/>
      </w:r>
      <w:r>
        <w:rPr>
          <w:rStyle w:val="VerbatimChar"/>
        </w:rPr>
        <w:t xml:space="preserve">  └── Quantitative analysis</w:t>
      </w:r>
      <w:r>
        <w:br/>
      </w:r>
      <w:r>
        <w:rPr>
          <w:rStyle w:val="VerbatimChar"/>
        </w:rPr>
        <w:t xml:space="preserve">  └── Qualitative analysis</w:t>
      </w:r>
      <w:r>
        <w:br/>
      </w:r>
      <w:r>
        <w:rPr>
          <w:rStyle w:val="VerbatimChar"/>
        </w:rPr>
        <w:t xml:space="preserve">└── Important terms and references</w:t>
      </w:r>
      <w:r>
        <w:br/>
      </w:r>
      <w:r>
        <w:br/>
      </w:r>
      <w:r>
        <w:rPr>
          <w:rStyle w:val="VerbatimChar"/>
        </w:rPr>
        <w:t xml:space="preserve">Household characteristics</w:t>
      </w:r>
      <w:r>
        <w:br/>
      </w:r>
      <w:r>
        <w:rPr>
          <w:rStyle w:val="VerbatimChar"/>
        </w:rPr>
        <w:t xml:space="preserve">└── Household demographics</w:t>
      </w:r>
      <w:r>
        <w:br/>
      </w:r>
      <w:r>
        <w:rPr>
          <w:rStyle w:val="VerbatimChar"/>
        </w:rPr>
        <w:t xml:space="preserve">└── Household composition and living arrangement</w:t>
      </w:r>
      <w:r>
        <w:br/>
      </w:r>
      <w:r>
        <w:rPr>
          <w:rStyle w:val="VerbatimChar"/>
        </w:rPr>
        <w:t xml:space="preserve">└── Households by tenure</w:t>
      </w:r>
      <w:r>
        <w:br/>
      </w:r>
      <w:r>
        <w:br/>
      </w:r>
      <w:r>
        <w:rPr>
          <w:rStyle w:val="VerbatimChar"/>
        </w:rPr>
        <w:t xml:space="preserve">Market dynamics</w:t>
      </w:r>
      <w:r>
        <w:br/>
      </w:r>
      <w:r>
        <w:rPr>
          <w:rStyle w:val="VerbatimChar"/>
        </w:rPr>
        <w:t xml:space="preserve">└── Rental</w:t>
      </w:r>
      <w:r>
        <w:br/>
      </w:r>
      <w:r>
        <w:rPr>
          <w:rStyle w:val="VerbatimChar"/>
        </w:rPr>
        <w:t xml:space="preserve">└── Homeownership</w:t>
      </w:r>
      <w:r>
        <w:br/>
      </w:r>
      <w:r>
        <w:rPr>
          <w:rStyle w:val="VerbatimChar"/>
        </w:rPr>
        <w:t xml:space="preserve">└── Vacant housing</w:t>
      </w:r>
      <w:r>
        <w:br/>
      </w:r>
      <w:r>
        <w:br/>
      </w:r>
      <w:r>
        <w:rPr>
          <w:rStyle w:val="VerbatimChar"/>
        </w:rPr>
        <w:t xml:space="preserve">Housing affordability</w:t>
      </w:r>
      <w:r>
        <w:br/>
      </w:r>
      <w:r>
        <w:rPr>
          <w:rStyle w:val="VerbatimChar"/>
        </w:rPr>
        <w:t xml:space="preserve">└── Workforce housing affordability</w:t>
      </w:r>
      <w:r>
        <w:br/>
      </w:r>
      <w:r>
        <w:rPr>
          <w:rStyle w:val="VerbatimChar"/>
        </w:rPr>
        <w:t xml:space="preserve">└── Affordable housing</w:t>
      </w:r>
      <w:r>
        <w:br/>
      </w:r>
      <w:r>
        <w:rPr>
          <w:rStyle w:val="VerbatimChar"/>
        </w:rPr>
        <w:t xml:space="preserve">└── Owned/for-sale gap analysis</w:t>
      </w:r>
      <w:r>
        <w:br/>
      </w:r>
      <w:r>
        <w:rPr>
          <w:rStyle w:val="VerbatimChar"/>
        </w:rPr>
        <w:t xml:space="preserve">└── Naturally occurring affordable housing (NOAH)</w:t>
      </w:r>
      <w:r>
        <w:br/>
      </w:r>
      <w:r>
        <w:br/>
      </w:r>
      <w:r>
        <w:rPr>
          <w:rStyle w:val="VerbatimChar"/>
        </w:rPr>
        <w:t xml:space="preserve">Conclusions</w:t>
      </w:r>
      <w:r>
        <w:br/>
      </w:r>
      <w:r>
        <w:br/>
      </w:r>
      <w:r>
        <w:rPr>
          <w:rStyle w:val="VerbatimChar"/>
        </w:rPr>
        <w:t xml:space="preserve">Solutions</w:t>
      </w:r>
      <w:r>
        <w:br/>
      </w:r>
      <w:r>
        <w:rPr>
          <w:rStyle w:val="VerbatimChar"/>
        </w:rPr>
        <w:t xml:space="preserve">└── Overview</w:t>
      </w:r>
      <w:r>
        <w:br/>
      </w:r>
      <w:r>
        <w:rPr>
          <w:rStyle w:val="VerbatimChar"/>
        </w:rPr>
        <w:t xml:space="preserve">└── Strategic priorities</w:t>
      </w:r>
      <w:r>
        <w:br/>
      </w:r>
      <w:r>
        <w:rPr>
          <w:rStyle w:val="VerbatimChar"/>
        </w:rPr>
        <w:t xml:space="preserve">└── Easy wins</w:t>
      </w:r>
      <w:r>
        <w:br/>
      </w:r>
      <w:r>
        <w:rPr>
          <w:rStyle w:val="VerbatimChar"/>
        </w:rPr>
        <w:t xml:space="preserve">└── Background work</w:t>
      </w:r>
      <w:r>
        <w:br/>
      </w:r>
      <w:r>
        <w:br/>
      </w:r>
      <w:r>
        <w:rPr>
          <w:rStyle w:val="VerbatimChar"/>
        </w:rPr>
        <w:t xml:space="preserve">Appendices</w:t>
      </w:r>
      <w:r>
        <w:br/>
      </w:r>
      <w:r>
        <w:rPr>
          <w:rStyle w:val="VerbatimChar"/>
        </w:rPr>
        <w:t xml:space="preserve">└── Appendix 1: Public and expert engagement</w:t>
      </w:r>
      <w:r>
        <w:br/>
      </w:r>
      <w:r>
        <w:rPr>
          <w:rStyle w:val="VerbatimChar"/>
        </w:rPr>
        <w:t xml:space="preserve">└── Appendix 2: Workforce housing affordability analysis</w:t>
      </w:r>
      <w:r>
        <w:br/>
      </w:r>
      <w:r>
        <w:rPr>
          <w:rStyle w:val="VerbatimChar"/>
        </w:rPr>
        <w:t xml:space="preserve">└── Appendix 3: Naturally occurring affordable housing analysis</w:t>
      </w:r>
    </w:p>
    <w:bookmarkEnd w:id="33"/>
    <w:bookmarkEnd w:id="34"/>
    <w:bookmarkStart w:id="35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Goes here</w:t>
      </w:r>
    </w:p>
    <w:bookmarkEnd w:id="35"/>
    <w:bookmarkStart w:id="36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Goes here</w:t>
      </w:r>
    </w:p>
    <w:bookmarkEnd w:id="36"/>
    <w:bookmarkStart w:id="39" w:name="data-and-methodological-notes"/>
    <w:p>
      <w:pPr>
        <w:pStyle w:val="Heading1"/>
      </w:pPr>
      <w:r>
        <w:t xml:space="preserve">1. Data and methodological notes</w:t>
      </w:r>
    </w:p>
    <w:bookmarkStart w:id="37" w:name="quantitative-analysis"/>
    <w:p>
      <w:pPr>
        <w:pStyle w:val="Heading2"/>
      </w:pPr>
      <w:r>
        <w:t xml:space="preserve">1.1 Quantitative analysis</w:t>
      </w:r>
    </w:p>
    <w:p>
      <w:pPr>
        <w:pStyle w:val="FirstParagraph"/>
      </w:pPr>
      <w:r>
        <w:t xml:space="preserve">…</w:t>
      </w:r>
    </w:p>
    <w:bookmarkEnd w:id="37"/>
    <w:bookmarkStart w:id="38" w:name="qualitative-analysis"/>
    <w:p>
      <w:pPr>
        <w:pStyle w:val="Heading2"/>
      </w:pPr>
      <w:r>
        <w:t xml:space="preserve">1.2 Qualitative analysis</w:t>
      </w:r>
    </w:p>
    <w:p>
      <w:pPr>
        <w:pStyle w:val="FirstParagraph"/>
      </w:pPr>
      <w:r>
        <w:t xml:space="preserve">…</w:t>
      </w:r>
    </w:p>
    <w:bookmarkEnd w:id="38"/>
    <w:bookmarkEnd w:id="39"/>
    <w:bookmarkStart w:id="42" w:name="overview"/>
    <w:p>
      <w:pPr>
        <w:pStyle w:val="Heading1"/>
      </w:pPr>
      <w:r>
        <w:t xml:space="preserve">2. Overview</w:t>
      </w:r>
    </w:p>
    <w:bookmarkStart w:id="40" w:name="policy-matrix"/>
    <w:p>
      <w:pPr>
        <w:pStyle w:val="Heading2"/>
      </w:pPr>
      <w:r>
        <w:t xml:space="preserve">2.1 Policy matrix</w:t>
      </w:r>
    </w:p>
    <w:p>
      <w:pPr>
        <w:pStyle w:val="FirstParagraph"/>
      </w:pPr>
      <w:r>
        <w:t xml:space="preserve">…</w:t>
      </w:r>
    </w:p>
    <w:bookmarkEnd w:id="40"/>
    <w:bookmarkStart w:id="41" w:name="policy-rankings"/>
    <w:p>
      <w:pPr>
        <w:pStyle w:val="Heading2"/>
      </w:pPr>
      <w:r>
        <w:t xml:space="preserve">2.2 Policy rankings</w:t>
      </w:r>
    </w:p>
    <w:p>
      <w:pPr>
        <w:pStyle w:val="FirstParagraph"/>
      </w:pPr>
      <w:r>
        <w:t xml:space="preserve">…</w:t>
      </w:r>
    </w:p>
    <w:bookmarkEnd w:id="41"/>
    <w:bookmarkEnd w:id="42"/>
    <w:bookmarkStart w:id="46" w:name="references"/>
    <w:p>
      <w:pPr>
        <w:pStyle w:val="Heading1"/>
      </w:pPr>
      <w:r>
        <w:t xml:space="preserve">References</w:t>
      </w:r>
    </w:p>
    <w:bookmarkStart w:id="45" w:name="refs"/>
    <w:bookmarkStart w:id="44" w:name="ref-ref1"/>
    <w:p>
      <w:pPr>
        <w:pStyle w:val="Bibliography"/>
      </w:pPr>
      <w:r>
        <w:t xml:space="preserve">Last, First X. 2023.</w:t>
      </w:r>
      <w:r>
        <w:t xml:space="preserve"> </w:t>
      </w:r>
      <w:r>
        <w:t xml:space="preserve">“Title.”</w:t>
      </w:r>
      <w: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12 (3): 45–67.</w:t>
      </w:r>
      <w:r>
        <w:t xml:space="preserve"> </w:t>
      </w:r>
      <w:hyperlink r:id="rId43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4"/>
    <w:bookmarkEnd w:id="45"/>
    <w:bookmarkEnd w:id="46"/>
    <w:bookmarkStart w:id="47" w:name="public-and-expert-engagement"/>
    <w:p>
      <w:pPr>
        <w:pStyle w:val="Heading1"/>
      </w:pPr>
      <w:r>
        <w:t xml:space="preserve">Appendix A — Public and expert engagement</w:t>
      </w:r>
    </w:p>
    <w:bookmarkEnd w:id="47"/>
    <w:sectPr w:rsidR="00A96C35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EE413" w14:textId="780F5A36" w:rsidR="00A37879" w:rsidRDefault="00A37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8147E" w14:textId="77777777" w:rsidR="00A37879" w:rsidRDefault="00A3787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I’m the footnote.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E778855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475267196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37879"/>
    <w:rPr>
      <w:rFonts w:ascii="Open Sans" w:hAnsi="Open Sans"/>
      <w:color w:themeColor="text1" w:themeTint="D9" w:val="3F3C3A"/>
      <w:sz w:val="20"/>
    </w:rPr>
  </w:style>
  <w:style w:styleId="Heading1" w:type="paragraph">
    <w:name w:val="heading 1"/>
    <w:basedOn w:val="Normal"/>
    <w:next w:val="BodyText"/>
    <w:uiPriority w:val="9"/>
    <w:qFormat/>
    <w:rsid w:val="007447AD"/>
    <w:pPr>
      <w:keepNext/>
      <w:keepLines/>
      <w:spacing w:after="240" w:before="240"/>
      <w:outlineLvl w:val="0"/>
    </w:pPr>
    <w:rPr>
      <w:rFonts w:ascii="Poppins SemiBold" w:cstheme="majorBidi" w:eastAsiaTheme="majorEastAsia" w:hAnsi="Poppins SemiBold"/>
      <w:bCs/>
      <w:color w:themeColor="accent1" w:val="1A3454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84154"/>
    <w:pPr>
      <w:keepNext/>
      <w:keepLines/>
      <w:spacing w:after="240" w:before="240"/>
      <w:outlineLvl w:val="1"/>
    </w:pPr>
    <w:rPr>
      <w:rFonts w:ascii="Poppins Medium" w:cstheme="majorBidi" w:eastAsiaTheme="majorEastAsia" w:hAnsi="Poppins Medium"/>
      <w:bCs/>
      <w:color w:themeColor="accent1" w:val="1A3454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84154"/>
    <w:pPr>
      <w:keepNext/>
      <w:keepLines/>
      <w:spacing w:after="240" w:before="200"/>
      <w:outlineLvl w:val="2"/>
    </w:pPr>
    <w:rPr>
      <w:rFonts w:ascii="Poppins Medium" w:cstheme="majorBidi" w:eastAsiaTheme="majorEastAsia" w:hAnsi="Poppins Medium"/>
      <w:bCs/>
      <w:color w:themeColor="accent4" w:val="3A9F9C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884154"/>
    <w:pPr>
      <w:keepNext/>
      <w:keepLines/>
      <w:spacing w:after="120" w:before="120"/>
      <w:outlineLvl w:val="3"/>
    </w:pPr>
    <w:rPr>
      <w:rFonts w:ascii="Open Sans Semibold" w:cstheme="majorBidi" w:eastAsiaTheme="majorEastAsia" w:hAnsi="Open Sans Semibold"/>
      <w:bCs/>
      <w:color w:themeColor="accent5" w:val="B1005F"/>
    </w:rPr>
  </w:style>
  <w:style w:styleId="Heading5" w:type="paragraph">
    <w:name w:val="heading 5"/>
    <w:basedOn w:val="Normal"/>
    <w:next w:val="BodyText"/>
    <w:uiPriority w:val="9"/>
    <w:unhideWhenUsed/>
    <w:qFormat/>
    <w:rsid w:val="007447AD"/>
    <w:pPr>
      <w:keepNext/>
      <w:keepLines/>
      <w:spacing w:after="0" w:before="200"/>
      <w:outlineLvl w:val="4"/>
    </w:pPr>
    <w:rPr>
      <w:rFonts w:asciiTheme="minorHAnsi" w:cstheme="majorBidi" w:eastAsiaTheme="majorEastAsia" w:hAnsiTheme="minorHAnsi"/>
      <w:b/>
      <w:iCs/>
      <w:color w:themeColor="text1" w:themeTint="E6" w:val="33312F"/>
      <w:sz w:val="1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1A3454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1A3454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1A3454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1A3454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C4CEB"/>
    <w:pPr>
      <w:spacing w:after="180" w:before="180"/>
    </w:pPr>
    <w:rPr>
      <w:sz w:val="18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884154"/>
    <w:pPr>
      <w:keepNext/>
      <w:keepLines/>
      <w:spacing w:after="0" w:before="120"/>
      <w:jc w:val="center"/>
    </w:pPr>
    <w:rPr>
      <w:rFonts w:ascii="Poppins SemiBold" w:cstheme="majorBidi" w:eastAsiaTheme="majorEastAsia" w:hAnsi="Poppins SemiBold"/>
      <w:bCs/>
      <w:color w:themeColor="accent1" w:val="1A3454"/>
      <w:sz w:val="36"/>
      <w:szCs w:val="36"/>
    </w:rPr>
  </w:style>
  <w:style w:styleId="Subtitle" w:type="paragraph">
    <w:name w:val="Subtitle"/>
    <w:basedOn w:val="Title"/>
    <w:next w:val="BodyText"/>
    <w:qFormat/>
    <w:rsid w:val="00BC4CEB"/>
    <w:pPr>
      <w:spacing w:after="240" w:before="0"/>
    </w:pPr>
    <w:rPr>
      <w:rFonts w:ascii="Poppins Medium" w:hAnsi="Poppins Medium"/>
      <w:sz w:val="30"/>
      <w:szCs w:val="30"/>
    </w:rPr>
  </w:style>
  <w:style w:customStyle="1" w:styleId="Author" w:type="paragraph">
    <w:name w:val="Author"/>
    <w:next w:val="BodyText"/>
    <w:qFormat/>
    <w:rsid w:val="00B366B6"/>
    <w:pPr>
      <w:keepNext/>
      <w:keepLines/>
      <w:spacing w:after="120" w:before="480"/>
      <w:contextualSpacing/>
      <w:jc w:val="center"/>
    </w:pPr>
    <w:rPr>
      <w:rFonts w:ascii="Open Sans" w:hAnsi="Open Sans"/>
      <w:color w:themeColor="text1" w:val="1C1B1A"/>
      <w:sz w:val="20"/>
    </w:rPr>
  </w:style>
  <w:style w:styleId="Date" w:type="paragraph">
    <w:name w:val="Date"/>
    <w:next w:val="BodyText"/>
    <w:qFormat/>
    <w:rsid w:val="00BC4CEB"/>
    <w:pPr>
      <w:keepNext/>
      <w:keepLines/>
      <w:jc w:val="center"/>
    </w:pPr>
    <w:rPr>
      <w:rFonts w:ascii="Open Sans" w:hAnsi="Open Sans"/>
      <w:color w:themeColor="text1" w:val="1C1B1A"/>
      <w:sz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7189A"/>
    <w:pPr>
      <w:spacing w:before="120"/>
      <w:contextualSpacing/>
    </w:pPr>
    <w:rPr>
      <w:color w:themeColor="text1" w:themeTint="BF" w:val="575451"/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447AD"/>
    <w:pPr>
      <w:keepNext/>
      <w:keepLines/>
      <w:spacing w:after="0"/>
    </w:pPr>
    <w:rPr>
      <w:b/>
      <w:sz w:val="18"/>
    </w:rPr>
  </w:style>
  <w:style w:customStyle="1" w:styleId="Definition" w:type="paragraph">
    <w:name w:val="Definition"/>
    <w:basedOn w:val="Normal"/>
    <w:rsid w:val="007447AD"/>
    <w:rPr>
      <w:i/>
      <w:sz w:val="18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C4CEB"/>
    <w:pPr>
      <w:keepNext/>
    </w:pPr>
    <w:rPr>
      <w:sz w:val="18"/>
    </w:rPr>
  </w:style>
  <w:style w:customStyle="1" w:styleId="ImageCaption" w:type="paragraph">
    <w:name w:val="Image Caption"/>
    <w:basedOn w:val="Caption"/>
    <w:rsid w:val="00BC4CEB"/>
    <w:rPr>
      <w:sz w:val="18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BC4CEB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BC4CEB"/>
    <w:rPr>
      <w:color w:themeColor="accent1" w:themeTint="99" w:val="4780C6"/>
      <w:sz w:val="18"/>
    </w:rPr>
  </w:style>
  <w:style w:styleId="TOCHeading" w:type="paragraph">
    <w:name w:val="TOC Heading"/>
    <w:basedOn w:val="Heading1"/>
    <w:next w:val="BodyText"/>
    <w:uiPriority w:val="39"/>
    <w:unhideWhenUsed/>
    <w:qFormat/>
    <w:rsid w:val="00884154"/>
    <w:pPr>
      <w:spacing w:line="259" w:lineRule="auto"/>
      <w:outlineLvl w:val="9"/>
    </w:pPr>
    <w:rPr>
      <w:bCs w:val="0"/>
    </w:rPr>
  </w:style>
  <w:style w:styleId="Header" w:type="paragraph">
    <w:name w:val="header"/>
    <w:basedOn w:val="Normal"/>
    <w:link w:val="HeaderChar"/>
    <w:rsid w:val="00A3787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A37879"/>
    <w:rPr>
      <w:rFonts w:ascii="Open Sans" w:hAnsi="Open Sans"/>
      <w:color w:themeColor="text1" w:themeTint="D9" w:val="3F3C3A"/>
      <w:sz w:val="20"/>
    </w:rPr>
  </w:style>
  <w:style w:styleId="Footer" w:type="paragraph">
    <w:name w:val="footer"/>
    <w:basedOn w:val="Normal"/>
    <w:link w:val="FooterChar"/>
    <w:uiPriority w:val="99"/>
    <w:rsid w:val="00A37879"/>
    <w:pPr>
      <w:tabs>
        <w:tab w:pos="4680" w:val="center"/>
        <w:tab w:pos="9360" w:val="right"/>
      </w:tabs>
      <w:spacing w:after="0"/>
    </w:pPr>
    <w:rPr>
      <w:color w:themeColor="text1" w:themeTint="BF" w:val="575451"/>
      <w:sz w:val="16"/>
    </w:rPr>
  </w:style>
  <w:style w:customStyle="1" w:styleId="FooterChar" w:type="character">
    <w:name w:val="Footer Char"/>
    <w:basedOn w:val="DefaultParagraphFont"/>
    <w:link w:val="Footer"/>
    <w:uiPriority w:val="99"/>
    <w:rsid w:val="00A37879"/>
    <w:rPr>
      <w:rFonts w:ascii="Open Sans" w:hAnsi="Open Sans"/>
      <w:color w:themeColor="text1" w:themeTint="BF" w:val="575451"/>
      <w:sz w:val="1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image" Id="rId25" Target="media/rId25.jpg" /><Relationship Type="http://schemas.openxmlformats.org/officeDocument/2006/relationships/image" Id="rId28" Target="media/rId28.png" /><Relationship Type="http://schemas.openxmlformats.org/officeDocument/2006/relationships/hyperlink" Id="rId43" Target="https://doi.org/10.1093/comjnl/27.2.97" TargetMode="External" /><Relationship Type="http://schemas.openxmlformats.org/officeDocument/2006/relationships/hyperlink" Id="rId20" Target="https://www.housingforwardv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i.org/10.1093/comjnl/27.2.97" TargetMode="External" /><Relationship Type="http://schemas.openxmlformats.org/officeDocument/2006/relationships/hyperlink" Id="rId20" Target="https://www.housingforwardva.org" TargetMode="External" /></Relationships>
</file>

<file path=word/theme/theme1.xml><?xml version="1.0" encoding="utf-8"?>
<a:theme xmlns:a="http://schemas.openxmlformats.org/drawingml/2006/main" name="Office Theme">
  <a:themeElements>
    <a:clrScheme name="HFV">
      <a:dk1>
        <a:srgbClr val="1C1B1A"/>
      </a:dk1>
      <a:lt1>
        <a:sysClr val="window" lastClr="FFFFFF"/>
      </a:lt1>
      <a:dk2>
        <a:srgbClr val="1A3454"/>
      </a:dk2>
      <a:lt2>
        <a:srgbClr val="FFFCF0"/>
      </a:lt2>
      <a:accent1>
        <a:srgbClr val="1A3454"/>
      </a:accent1>
      <a:accent2>
        <a:srgbClr val="53C6C6"/>
      </a:accent2>
      <a:accent3>
        <a:srgbClr val="9691CF"/>
      </a:accent3>
      <a:accent4>
        <a:srgbClr val="3A9F9C"/>
      </a:accent4>
      <a:accent5>
        <a:srgbClr val="B1005F"/>
      </a:accent5>
      <a:accent6>
        <a:srgbClr val="E66B3F"/>
      </a:accent6>
      <a:hlink>
        <a:srgbClr val="53C6C6"/>
      </a:hlink>
      <a:folHlink>
        <a:srgbClr val="808EA0"/>
      </a:folHlink>
    </a:clrScheme>
    <a:fontScheme name="HFV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Beach Housing Study Update</dc:title>
  <dc:creator>Virginia Center for Housing Research; HousingForward Virginia</dc:creator>
  <cp:keywords/>
  <dcterms:created xsi:type="dcterms:W3CDTF">2023-10-21T03:06:27Z</dcterms:created>
  <dcterms:modified xsi:type="dcterms:W3CDTF">2023-10-21T03:06:27Z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October 20, 2023</vt:lpwstr>
  </property>
  <property fmtid="{D5CDD505-2E9C-101B-9397-08002B2CF9AE}" pid="9" name="date-format">
    <vt:lpwstr>long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