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4B02" w14:textId="77777777" w:rsidR="000A5CD9" w:rsidRDefault="00000000">
      <w:pPr>
        <w:pStyle w:val="Title"/>
      </w:pPr>
      <w:r>
        <w:t>Virginia Beach Housing Study Update</w:t>
      </w:r>
    </w:p>
    <w:p w14:paraId="5E7577B2" w14:textId="77777777" w:rsidR="000A5CD9" w:rsidRDefault="00000000">
      <w:pPr>
        <w:pStyle w:val="Author"/>
      </w:pPr>
      <w:r>
        <w:t>Virginia Center for Housing Research</w:t>
      </w:r>
    </w:p>
    <w:p w14:paraId="5B7DDE0D" w14:textId="77777777" w:rsidR="000A5CD9" w:rsidRDefault="00000000">
      <w:pPr>
        <w:pStyle w:val="Author"/>
      </w:pPr>
      <w:r>
        <w:t>HousingForward Virginia</w:t>
      </w:r>
    </w:p>
    <w:p w14:paraId="06BC7244" w14:textId="77777777" w:rsidR="000A5CD9" w:rsidRDefault="00000000">
      <w:pPr>
        <w:pStyle w:val="Date"/>
      </w:pPr>
      <w:r>
        <w:t>October 20, 2023</w:t>
      </w:r>
    </w:p>
    <w:sdt>
      <w:sdtPr>
        <w:rPr>
          <w:rFonts w:ascii="Open Sans" w:eastAsiaTheme="minorHAnsi" w:hAnsi="Open Sans" w:cstheme="minorBidi"/>
          <w:color w:val="3F3C3A" w:themeColor="text1" w:themeTint="D9"/>
          <w:sz w:val="20"/>
          <w:szCs w:val="24"/>
        </w:rPr>
        <w:id w:val="-1916315936"/>
        <w:docPartObj>
          <w:docPartGallery w:val="Table of Contents"/>
          <w:docPartUnique/>
        </w:docPartObj>
      </w:sdtPr>
      <w:sdtContent>
        <w:p w14:paraId="06785081" w14:textId="77777777" w:rsidR="000A5CD9" w:rsidRDefault="00000000">
          <w:pPr>
            <w:pStyle w:val="TOCHeading"/>
          </w:pPr>
          <w:r>
            <w:t>Table of contents</w:t>
          </w:r>
        </w:p>
        <w:p w14:paraId="047177BF" w14:textId="55ACD35C" w:rsidR="009A1954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132721" w:history="1">
            <w:r w:rsidR="009A1954" w:rsidRPr="00DF7CF7">
              <w:rPr>
                <w:rStyle w:val="Hyperlink"/>
                <w:noProof/>
              </w:rPr>
              <w:t>About</w:t>
            </w:r>
            <w:r w:rsidR="009A1954">
              <w:rPr>
                <w:noProof/>
                <w:webHidden/>
              </w:rPr>
              <w:tab/>
            </w:r>
            <w:r w:rsidR="009A1954">
              <w:rPr>
                <w:noProof/>
                <w:webHidden/>
              </w:rPr>
              <w:fldChar w:fldCharType="begin"/>
            </w:r>
            <w:r w:rsidR="009A1954">
              <w:rPr>
                <w:noProof/>
                <w:webHidden/>
              </w:rPr>
              <w:instrText xml:space="preserve"> PAGEREF _Toc149132721 \h </w:instrText>
            </w:r>
            <w:r w:rsidR="009A1954">
              <w:rPr>
                <w:noProof/>
                <w:webHidden/>
              </w:rPr>
            </w:r>
            <w:r w:rsidR="009A1954">
              <w:rPr>
                <w:noProof/>
                <w:webHidden/>
              </w:rPr>
              <w:fldChar w:fldCharType="separate"/>
            </w:r>
            <w:r w:rsidR="009A1954">
              <w:rPr>
                <w:noProof/>
                <w:webHidden/>
              </w:rPr>
              <w:t>1</w:t>
            </w:r>
            <w:r w:rsidR="009A1954">
              <w:rPr>
                <w:noProof/>
                <w:webHidden/>
              </w:rPr>
              <w:fldChar w:fldCharType="end"/>
            </w:r>
          </w:hyperlink>
        </w:p>
        <w:p w14:paraId="100B9B21" w14:textId="2F77F430" w:rsidR="009A1954" w:rsidRDefault="009A19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22" w:history="1">
            <w:r w:rsidRPr="00DF7CF7">
              <w:rPr>
                <w:rStyle w:val="Hyperlink"/>
                <w:noProof/>
              </w:rPr>
              <w:t>Test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F211" w14:textId="0B49DA18" w:rsidR="009A1954" w:rsidRDefault="009A19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23" w:history="1">
            <w:r w:rsidRPr="00DF7CF7">
              <w:rPr>
                <w:rStyle w:val="Hyperlink"/>
                <w:noProof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4F0A" w14:textId="4493C070" w:rsidR="009A1954" w:rsidRDefault="009A19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24" w:history="1">
            <w:r w:rsidRPr="00DF7CF7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1CCE" w14:textId="3298EC75" w:rsidR="009A1954" w:rsidRDefault="009A19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25" w:history="1">
            <w:r w:rsidRPr="00DF7CF7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F36F" w14:textId="5D55E4C3" w:rsidR="009A1954" w:rsidRDefault="009A19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26" w:history="1">
            <w:r w:rsidRPr="00DF7CF7">
              <w:rPr>
                <w:rStyle w:val="Hyperlink"/>
                <w:noProof/>
              </w:rPr>
              <w:t>1. Data and methodological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D90B" w14:textId="61998C71" w:rsidR="009A1954" w:rsidRDefault="009A19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27" w:history="1">
            <w:r w:rsidRPr="00DF7CF7">
              <w:rPr>
                <w:rStyle w:val="Hyperlink"/>
                <w:noProof/>
              </w:rPr>
              <w:t>1.1 Quantitative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14E2C" w14:textId="2881F98C" w:rsidR="009A1954" w:rsidRDefault="009A19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28" w:history="1">
            <w:r w:rsidRPr="00DF7CF7">
              <w:rPr>
                <w:rStyle w:val="Hyperlink"/>
                <w:noProof/>
              </w:rPr>
              <w:t>1.2 Qualitative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92EC" w14:textId="27937C90" w:rsidR="009A1954" w:rsidRDefault="009A19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29" w:history="1">
            <w:r w:rsidRPr="00DF7CF7">
              <w:rPr>
                <w:rStyle w:val="Hyperlink"/>
                <w:noProof/>
              </w:rPr>
              <w:t>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56A1" w14:textId="08FD8B84" w:rsidR="009A1954" w:rsidRDefault="009A19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30" w:history="1">
            <w:r w:rsidRPr="00DF7CF7">
              <w:rPr>
                <w:rStyle w:val="Hyperlink"/>
                <w:noProof/>
              </w:rPr>
              <w:t>2.1 Policy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31BB" w14:textId="704B10A8" w:rsidR="009A1954" w:rsidRDefault="009A19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31" w:history="1">
            <w:r w:rsidRPr="00DF7CF7">
              <w:rPr>
                <w:rStyle w:val="Hyperlink"/>
                <w:noProof/>
              </w:rPr>
              <w:t>2.2 Policy 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CB92" w14:textId="1EAD7736" w:rsidR="009A1954" w:rsidRDefault="009A19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32" w:history="1">
            <w:r w:rsidRPr="00DF7CF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B6473" w14:textId="3CE96D20" w:rsidR="009A1954" w:rsidRDefault="009A19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49132733" w:history="1">
            <w:r w:rsidRPr="00DF7CF7">
              <w:rPr>
                <w:rStyle w:val="Hyperlink"/>
                <w:noProof/>
              </w:rPr>
              <w:t>Appendix A — Public and expert engagement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7EC59" w14:textId="7C396365" w:rsidR="000A5CD9" w:rsidRDefault="00000000">
          <w:r>
            <w:fldChar w:fldCharType="end"/>
          </w:r>
        </w:p>
      </w:sdtContent>
    </w:sdt>
    <w:p w14:paraId="6F431993" w14:textId="77777777" w:rsidR="000A5CD9" w:rsidRDefault="00000000">
      <w:pPr>
        <w:pStyle w:val="Heading1"/>
      </w:pPr>
      <w:bookmarkStart w:id="0" w:name="about"/>
      <w:bookmarkStart w:id="1" w:name="_Toc149132721"/>
      <w:r>
        <w:t>About</w:t>
      </w:r>
      <w:bookmarkEnd w:id="1"/>
    </w:p>
    <w:p w14:paraId="7C39175B" w14:textId="77777777" w:rsidR="000A5CD9" w:rsidRDefault="00000000">
      <w:pPr>
        <w:pStyle w:val="Heading2"/>
      </w:pPr>
      <w:bookmarkStart w:id="2" w:name="test-content"/>
      <w:bookmarkStart w:id="3" w:name="_Toc149132722"/>
      <w:r>
        <w:t>Test content</w:t>
      </w:r>
      <w:bookmarkEnd w:id="3"/>
    </w:p>
    <w:p w14:paraId="3542011C" w14:textId="77777777" w:rsidR="000A5CD9" w:rsidRDefault="00000000">
      <w:pPr>
        <w:pStyle w:val="FirstParagraph"/>
      </w:pPr>
      <w:r>
        <w:t>Unordered list:</w:t>
      </w:r>
    </w:p>
    <w:p w14:paraId="40315D2C" w14:textId="77777777" w:rsidR="000A5CD9" w:rsidRDefault="00000000">
      <w:pPr>
        <w:pStyle w:val="Compact"/>
        <w:numPr>
          <w:ilvl w:val="0"/>
          <w:numId w:val="3"/>
        </w:numPr>
      </w:pPr>
      <w:r>
        <w:t>This</w:t>
      </w:r>
    </w:p>
    <w:p w14:paraId="40D03E32" w14:textId="77777777" w:rsidR="000A5CD9" w:rsidRDefault="00000000">
      <w:pPr>
        <w:pStyle w:val="Compact"/>
        <w:numPr>
          <w:ilvl w:val="0"/>
          <w:numId w:val="3"/>
        </w:numPr>
      </w:pPr>
      <w:r>
        <w:t>is</w:t>
      </w:r>
    </w:p>
    <w:p w14:paraId="0FEEDC82" w14:textId="77777777" w:rsidR="000A5CD9" w:rsidRDefault="00000000">
      <w:pPr>
        <w:pStyle w:val="Compact"/>
        <w:numPr>
          <w:ilvl w:val="1"/>
          <w:numId w:val="4"/>
        </w:numPr>
      </w:pPr>
      <w:r>
        <w:t>a</w:t>
      </w:r>
    </w:p>
    <w:p w14:paraId="598E209F" w14:textId="77777777" w:rsidR="000A5CD9" w:rsidRDefault="00000000">
      <w:pPr>
        <w:pStyle w:val="Compact"/>
        <w:numPr>
          <w:ilvl w:val="1"/>
          <w:numId w:val="4"/>
        </w:numPr>
      </w:pPr>
      <w:r>
        <w:t>list</w:t>
      </w:r>
    </w:p>
    <w:p w14:paraId="3C8652D9" w14:textId="77777777" w:rsidR="000A5CD9" w:rsidRDefault="00000000">
      <w:pPr>
        <w:pStyle w:val="FirstParagraph"/>
      </w:pPr>
      <w:r>
        <w:t>Numbered list:</w:t>
      </w:r>
    </w:p>
    <w:p w14:paraId="08251591" w14:textId="77777777" w:rsidR="000A5CD9" w:rsidRDefault="00000000">
      <w:pPr>
        <w:pStyle w:val="Compact"/>
        <w:numPr>
          <w:ilvl w:val="0"/>
          <w:numId w:val="5"/>
        </w:numPr>
      </w:pPr>
      <w:r>
        <w:t>One</w:t>
      </w:r>
    </w:p>
    <w:p w14:paraId="11B92123" w14:textId="77777777" w:rsidR="000A5CD9" w:rsidRDefault="00000000">
      <w:pPr>
        <w:pStyle w:val="Compact"/>
        <w:numPr>
          <w:ilvl w:val="0"/>
          <w:numId w:val="5"/>
        </w:numPr>
      </w:pPr>
      <w:r>
        <w:t>Two</w:t>
      </w:r>
    </w:p>
    <w:p w14:paraId="0638FDCE" w14:textId="77777777" w:rsidR="000A5CD9" w:rsidRDefault="00000000">
      <w:pPr>
        <w:pStyle w:val="Compact"/>
        <w:numPr>
          <w:ilvl w:val="0"/>
          <w:numId w:val="5"/>
        </w:numPr>
      </w:pPr>
      <w:r>
        <w:t>Three</w:t>
      </w:r>
    </w:p>
    <w:p w14:paraId="536D8341" w14:textId="77777777" w:rsidR="000A5CD9" w:rsidRDefault="00000000">
      <w:pPr>
        <w:pStyle w:val="FirstParagraph"/>
      </w:pPr>
      <w:r>
        <w:lastRenderedPageBreak/>
        <w:t xml:space="preserve">Here is a </w:t>
      </w:r>
      <w:hyperlink r:id="rId7">
        <w:r>
          <w:rPr>
            <w:rStyle w:val="Hyperlink"/>
          </w:rPr>
          <w:t>link</w:t>
        </w:r>
      </w:hyperlink>
      <w:r>
        <w:t>.</w:t>
      </w:r>
    </w:p>
    <w:p w14:paraId="2B513007" w14:textId="77777777" w:rsidR="000A5CD9" w:rsidRDefault="00000000">
      <w:pPr>
        <w:pStyle w:val="DefinitionTerm"/>
      </w:pPr>
      <w:r>
        <w:t>Term</w:t>
      </w:r>
    </w:p>
    <w:p w14:paraId="64AC4718" w14:textId="77777777" w:rsidR="000A5CD9" w:rsidRDefault="00000000">
      <w:pPr>
        <w:pStyle w:val="Definition"/>
      </w:pPr>
      <w:r>
        <w:t>This is the definition</w:t>
      </w:r>
    </w:p>
    <w:p w14:paraId="403059A8" w14:textId="77777777" w:rsidR="000A5CD9" w:rsidRDefault="00000000">
      <w:pPr>
        <w:pStyle w:val="FirstParagraph"/>
      </w:pPr>
      <w:r>
        <w:t>This is a footnote.</w:t>
      </w:r>
      <w:r>
        <w:rPr>
          <w:rStyle w:val="FootnoteReference"/>
        </w:rPr>
        <w:footnoteReference w:id="1"/>
      </w:r>
    </w:p>
    <w:p w14:paraId="19EC5820" w14:textId="77777777" w:rsidR="000A5CD9" w:rsidRDefault="00000000">
      <w:pPr>
        <w:pStyle w:val="BodyText"/>
      </w:pPr>
      <w:r>
        <w:t>This is a citation (Last 2023).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58"/>
        <w:gridCol w:w="422"/>
        <w:gridCol w:w="319"/>
        <w:gridCol w:w="637"/>
      </w:tblGrid>
      <w:tr w:rsidR="000A5CD9" w14:paraId="5D3DB521" w14:textId="77777777" w:rsidTr="000A5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FD9227" w14:textId="77777777" w:rsidR="000A5CD9" w:rsidRDefault="00000000">
            <w:pPr>
              <w:pStyle w:val="Compact"/>
            </w:pPr>
            <w:r>
              <w:t>This</w:t>
            </w:r>
          </w:p>
        </w:tc>
        <w:tc>
          <w:tcPr>
            <w:tcW w:w="0" w:type="auto"/>
          </w:tcPr>
          <w:p w14:paraId="0CDCA36F" w14:textId="77777777" w:rsidR="000A5CD9" w:rsidRDefault="00000000">
            <w:pPr>
              <w:pStyle w:val="Compact"/>
            </w:pPr>
            <w:r>
              <w:t>is</w:t>
            </w:r>
          </w:p>
        </w:tc>
        <w:tc>
          <w:tcPr>
            <w:tcW w:w="0" w:type="auto"/>
          </w:tcPr>
          <w:p w14:paraId="077694D2" w14:textId="77777777" w:rsidR="000A5CD9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6B37F84E" w14:textId="77777777" w:rsidR="000A5CD9" w:rsidRDefault="00000000">
            <w:pPr>
              <w:pStyle w:val="Compact"/>
            </w:pPr>
            <w:r>
              <w:t>table</w:t>
            </w:r>
          </w:p>
        </w:tc>
      </w:tr>
      <w:tr w:rsidR="000A5CD9" w14:paraId="272A43FF" w14:textId="77777777">
        <w:tc>
          <w:tcPr>
            <w:tcW w:w="0" w:type="auto"/>
          </w:tcPr>
          <w:p w14:paraId="235AA94D" w14:textId="77777777" w:rsidR="000A5CD9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681DC18B" w14:textId="77777777" w:rsidR="000A5CD9" w:rsidRDefault="0000000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5896D1C7" w14:textId="77777777" w:rsidR="000A5CD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CFAA8CB" w14:textId="77777777" w:rsidR="000A5CD9" w:rsidRDefault="00000000">
            <w:pPr>
              <w:pStyle w:val="Compact"/>
            </w:pPr>
            <w:r>
              <w:t>12</w:t>
            </w:r>
          </w:p>
        </w:tc>
      </w:tr>
      <w:tr w:rsidR="000A5CD9" w14:paraId="4F527CEC" w14:textId="77777777">
        <w:tc>
          <w:tcPr>
            <w:tcW w:w="0" w:type="auto"/>
          </w:tcPr>
          <w:p w14:paraId="1B7F55B8" w14:textId="77777777" w:rsidR="000A5CD9" w:rsidRDefault="00000000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7F0843A4" w14:textId="77777777" w:rsidR="000A5CD9" w:rsidRDefault="00000000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14:paraId="7B17D593" w14:textId="77777777" w:rsidR="000A5CD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C6950ED" w14:textId="77777777" w:rsidR="000A5CD9" w:rsidRDefault="00000000">
            <w:pPr>
              <w:pStyle w:val="Compact"/>
            </w:pPr>
            <w:r>
              <w:t>12</w:t>
            </w:r>
          </w:p>
        </w:tc>
      </w:tr>
      <w:tr w:rsidR="000A5CD9" w14:paraId="0E6C417C" w14:textId="77777777">
        <w:tc>
          <w:tcPr>
            <w:tcW w:w="0" w:type="auto"/>
          </w:tcPr>
          <w:p w14:paraId="2A8F47FF" w14:textId="77777777" w:rsidR="000A5CD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5C9C871" w14:textId="77777777" w:rsidR="000A5CD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91B89D7" w14:textId="77777777" w:rsidR="000A5CD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083E16F" w14:textId="77777777" w:rsidR="000A5CD9" w:rsidRDefault="00000000">
            <w:pPr>
              <w:pStyle w:val="Compact"/>
            </w:pPr>
            <w:r>
              <w:t>12</w:t>
            </w:r>
          </w:p>
        </w:tc>
      </w:tr>
    </w:tbl>
    <w:p w14:paraId="6A18E3B9" w14:textId="77777777" w:rsidR="000A5CD9" w:rsidRDefault="00000000">
      <w:pPr>
        <w:pStyle w:val="BlockText"/>
      </w:pPr>
      <w:r>
        <w:t>This is a blockquote</w:t>
      </w:r>
    </w:p>
    <w:tbl>
      <w:tblPr>
        <w:tblStyle w:val="Table"/>
        <w:tblW w:w="5000" w:type="pct"/>
        <w:tblInd w:w="164" w:type="dxa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48"/>
      </w:tblGrid>
      <w:tr w:rsidR="000A5CD9" w14:paraId="0B34C3B6" w14:textId="77777777" w:rsidTr="000A5CD9">
        <w:trPr>
          <w:cantSplit/>
        </w:trPr>
        <w:tc>
          <w:tcPr>
            <w:tcW w:w="0" w:type="auto"/>
            <w:shd w:val="clear" w:color="auto" w:fill="CCF1E3"/>
            <w:tcMar>
              <w:top w:w="92" w:type="dxa"/>
              <w:bottom w:w="92" w:type="dxa"/>
            </w:tcMar>
          </w:tcPr>
          <w:p w14:paraId="57E51A74" w14:textId="77777777" w:rsidR="000A5CD9" w:rsidRDefault="00000000">
            <w:pPr>
              <w:pStyle w:val="FirstParagraph"/>
              <w:spacing w:before="0" w:after="0"/>
              <w:textAlignment w:val="center"/>
            </w:pPr>
            <w:r>
              <w:rPr>
                <w:noProof/>
              </w:rPr>
              <w:drawing>
                <wp:inline distT="0" distB="0" distL="0" distR="0" wp14:anchorId="6C70A7BB" wp14:editId="38DFA227">
                  <wp:extent cx="152400" cy="152400"/>
                  <wp:effectExtent l="0" t="0" r="0" b="0"/>
                  <wp:docPr id="2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 descr="C:\Users\Jonathan\AppData\Local\Programs\Quarto\share\formats\docx\t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This is a callout</w:t>
            </w:r>
          </w:p>
        </w:tc>
      </w:tr>
      <w:tr w:rsidR="000A5CD9" w14:paraId="27AC6A3E" w14:textId="77777777" w:rsidTr="000A5CD9">
        <w:trPr>
          <w:cantSplit/>
        </w:trPr>
        <w:tc>
          <w:tcPr>
            <w:tcW w:w="0" w:type="auto"/>
            <w:tcMar>
              <w:top w:w="108" w:type="dxa"/>
              <w:bottom w:w="108" w:type="dxa"/>
            </w:tcMar>
          </w:tcPr>
          <w:p w14:paraId="0244E25B" w14:textId="77777777" w:rsidR="000A5CD9" w:rsidRDefault="00000000">
            <w:pPr>
              <w:pStyle w:val="BodyText"/>
              <w:spacing w:before="16" w:after="16"/>
            </w:pPr>
            <w:r>
              <w:t>This is the text inside of a callout.</w:t>
            </w:r>
          </w:p>
        </w:tc>
      </w:tr>
    </w:tbl>
    <w:p w14:paraId="1C74944F" w14:textId="77777777" w:rsidR="000A5CD9" w:rsidRDefault="00000000">
      <w:pPr>
        <w:pStyle w:val="BodyText"/>
      </w:pPr>
      <w:r>
        <w:t>Here is an image: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0A5CD9" w14:paraId="24AD9EFC" w14:textId="77777777">
        <w:tc>
          <w:tcPr>
            <w:tcW w:w="0" w:type="auto"/>
          </w:tcPr>
          <w:p w14:paraId="3F6A65A1" w14:textId="77777777" w:rsidR="000A5CD9" w:rsidRDefault="00000000">
            <w:r>
              <w:rPr>
                <w:noProof/>
              </w:rPr>
              <w:drawing>
                <wp:inline distT="0" distB="0" distL="0" distR="0" wp14:anchorId="765C7753" wp14:editId="545A9E17">
                  <wp:extent cx="3810000" cy="2540000"/>
                  <wp:effectExtent l="0" t="0" r="0" b="0"/>
                  <wp:docPr id="2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 descr="img/hfv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99D8A" w14:textId="77777777" w:rsidR="000A5CD9" w:rsidRDefault="00000000">
            <w:pPr>
              <w:pStyle w:val="ImageCaption"/>
              <w:spacing w:before="200"/>
            </w:pPr>
            <w:r>
              <w:t>HousingForward Virginia logo</w:t>
            </w:r>
          </w:p>
        </w:tc>
      </w:tr>
    </w:tbl>
    <w:p w14:paraId="33B8FA19" w14:textId="77777777" w:rsidR="000A5CD9" w:rsidRDefault="00000000">
      <w:pPr>
        <w:pStyle w:val="BodyText"/>
      </w:pPr>
      <w:r>
        <w:t>Here is a figure generated by code:</w:t>
      </w:r>
    </w:p>
    <w:p w14:paraId="5A5F4EAC" w14:textId="77777777" w:rsidR="000A5CD9" w:rsidRDefault="00000000">
      <w:pPr>
        <w:pStyle w:val="SourceCode"/>
      </w:pPr>
      <w:r>
        <w:rPr>
          <w:rStyle w:val="NormalTok"/>
        </w:rPr>
        <w:t xml:space="preserve">lihtc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"data/lihtc.csv"</w:t>
      </w:r>
      <w:r>
        <w:rPr>
          <w:rStyle w:val="NormalTok"/>
        </w:rPr>
        <w:t>)</w:t>
      </w:r>
    </w:p>
    <w:p w14:paraId="155A022A" w14:textId="77777777" w:rsidR="000A5CD9" w:rsidRDefault="00000000">
      <w:pPr>
        <w:pStyle w:val="SourceCode"/>
      </w:pPr>
      <w:r>
        <w:rPr>
          <w:rStyle w:val="VerbatimChar"/>
        </w:rPr>
        <w:t>Rows: 34 Columns: 2</w:t>
      </w:r>
      <w:r>
        <w:br/>
      </w:r>
      <w:r>
        <w:rPr>
          <w:rStyle w:val="VerbatimChar"/>
        </w:rPr>
        <w:t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Delimiter: ","</w:t>
      </w:r>
      <w:r>
        <w:br/>
      </w:r>
      <w:r>
        <w:rPr>
          <w:rStyle w:val="VerbatimChar"/>
        </w:rPr>
        <w:t>dbl (2): year, units</w:t>
      </w:r>
      <w:r>
        <w:br/>
      </w:r>
      <w:r>
        <w:lastRenderedPageBreak/>
        <w:br/>
      </w:r>
      <w:r>
        <w:rPr>
          <w:rStyle w:val="VerbatimChar"/>
        </w:rPr>
        <w:t>ℹ Use `spec()` to retrieve the full column specification for this data.</w:t>
      </w:r>
      <w:r>
        <w:br/>
      </w:r>
      <w:r>
        <w:rPr>
          <w:rStyle w:val="VerbatimChar"/>
        </w:rPr>
        <w:t>ℹ Specify the column types or set `show_col_types = FALSE` to quiet this message.</w:t>
      </w:r>
    </w:p>
    <w:p w14:paraId="3911CB64" w14:textId="77777777" w:rsidR="000A5CD9" w:rsidRDefault="00000000">
      <w:pPr>
        <w:pStyle w:val="SourceCode"/>
      </w:pPr>
      <w:r>
        <w:rPr>
          <w:rStyle w:val="NormalTok"/>
        </w:rPr>
        <w:t xml:space="preserve">fig_lihtc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(lihtc, </w:t>
      </w:r>
      <w:r>
        <w:rPr>
          <w:rStyle w:val="FunctionTok"/>
        </w:rPr>
        <w:t>aes</w:t>
      </w:r>
      <w:r>
        <w:rPr>
          <w:rStyle w:val="NormalTok"/>
        </w:rPr>
        <w:t xml:space="preserve">(year, units))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"#3a9f9c"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1985</w:t>
      </w:r>
      <w:r>
        <w:rPr>
          <w:rStyle w:val="NormalTok"/>
        </w:rPr>
        <w:t xml:space="preserve">, </w:t>
      </w:r>
      <w:r>
        <w:rPr>
          <w:rStyle w:val="DecValTok"/>
        </w:rPr>
        <w:t>1990</w:t>
      </w:r>
      <w:r>
        <w:rPr>
          <w:rStyle w:val="NormalTok"/>
        </w:rPr>
        <w:t xml:space="preserve">, </w:t>
      </w:r>
      <w:r>
        <w:rPr>
          <w:rStyle w:val="DecValTok"/>
        </w:rPr>
        <w:t>1995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DecValTok"/>
        </w:rPr>
        <w:t>2010</w:t>
      </w:r>
      <w:r>
        <w:rPr>
          <w:rStyle w:val="NormalTok"/>
        </w:rPr>
        <w:t xml:space="preserve">, </w:t>
      </w:r>
      <w:r>
        <w:rPr>
          <w:rStyle w:val="DecValTok"/>
        </w:rPr>
        <w:t>2015</w:t>
      </w:r>
      <w:r>
        <w:rPr>
          <w:rStyle w:val="NormalTok"/>
        </w:rPr>
        <w:t xml:space="preserve">, </w:t>
      </w:r>
      <w:r>
        <w:rPr>
          <w:rStyle w:val="DecValTok"/>
        </w:rPr>
        <w:t>2019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"LIHTC Finances More Than 50,000 New Homes Annually"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"New construction LIHTC units, by year placed in service, in thousands"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"**Source:** Urban Institute analysis of National Housing Preservation Database (2023).&lt;br&gt;**Note:** Includes 4 and 9 percent LIHTC."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add_zero_line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fig_lihtc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0A5CD9" w14:paraId="1406B9EA" w14:textId="77777777">
        <w:tc>
          <w:tcPr>
            <w:tcW w:w="0" w:type="auto"/>
          </w:tcPr>
          <w:p w14:paraId="7AB495C3" w14:textId="77777777" w:rsidR="000A5CD9" w:rsidRDefault="00000000">
            <w:bookmarkStart w:id="4" w:name="fig-lihtc"/>
            <w:r>
              <w:rPr>
                <w:noProof/>
              </w:rPr>
              <w:drawing>
                <wp:inline distT="0" distB="0" distL="0" distR="0" wp14:anchorId="336FCAC6" wp14:editId="62C2CF6A">
                  <wp:extent cx="4620126" cy="2849077"/>
                  <wp:effectExtent l="0" t="0" r="0" b="0"/>
                  <wp:docPr id="2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 descr="index_files/figure-docx/fig-liht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2849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26341" w14:textId="77777777" w:rsidR="000A5CD9" w:rsidRDefault="00000000">
            <w:pPr>
              <w:pStyle w:val="ImageCaption"/>
              <w:spacing w:before="200"/>
            </w:pPr>
            <w:r>
              <w:t>Figure 1: Annual LIHTC production from 1985 to 2019</w:t>
            </w:r>
          </w:p>
        </w:tc>
        <w:bookmarkEnd w:id="4"/>
      </w:tr>
    </w:tbl>
    <w:p w14:paraId="6116FEE0" w14:textId="77777777" w:rsidR="000A5CD9" w:rsidRDefault="00000000">
      <w:pPr>
        <w:pStyle w:val="Heading2"/>
      </w:pPr>
      <w:bookmarkStart w:id="5" w:name="outline"/>
      <w:bookmarkStart w:id="6" w:name="_Toc149132723"/>
      <w:bookmarkEnd w:id="2"/>
      <w:r>
        <w:t>Outline</w:t>
      </w:r>
      <w:bookmarkEnd w:id="6"/>
    </w:p>
    <w:p w14:paraId="4A3CD268" w14:textId="77777777" w:rsidR="000A5CD9" w:rsidRDefault="00000000">
      <w:pPr>
        <w:pStyle w:val="FirstParagraph"/>
      </w:pPr>
      <w:r>
        <w:t>Current outline:</w:t>
      </w:r>
    </w:p>
    <w:p w14:paraId="1A60C35D" w14:textId="77777777" w:rsidR="000A5CD9" w:rsidRDefault="00000000">
      <w:pPr>
        <w:pStyle w:val="SourceCode"/>
      </w:pPr>
      <w:r>
        <w:rPr>
          <w:rStyle w:val="VerbatimChar"/>
        </w:rPr>
        <w:t>Executive summary</w:t>
      </w:r>
      <w:r>
        <w:br/>
      </w:r>
      <w:r>
        <w:br/>
      </w:r>
      <w:r>
        <w:rPr>
          <w:rStyle w:val="VerbatimChar"/>
        </w:rPr>
        <w:t>Preface</w:t>
      </w:r>
      <w:r>
        <w:br/>
      </w:r>
      <w:r>
        <w:rPr>
          <w:rStyle w:val="VerbatimChar"/>
        </w:rPr>
        <w:t>└── About VCHR and HFV</w:t>
      </w:r>
      <w:r>
        <w:br/>
      </w:r>
      <w:r>
        <w:rPr>
          <w:rStyle w:val="VerbatimChar"/>
        </w:rPr>
        <w:t>└── Acknowledgements</w:t>
      </w:r>
      <w:r>
        <w:br/>
      </w:r>
      <w:r>
        <w:rPr>
          <w:rStyle w:val="VerbatimChar"/>
        </w:rPr>
        <w:t>└── Scope of work and process</w:t>
      </w:r>
      <w:r>
        <w:br/>
      </w:r>
      <w:r>
        <w:br/>
      </w:r>
      <w:r>
        <w:rPr>
          <w:rStyle w:val="VerbatimChar"/>
        </w:rPr>
        <w:t>Introduction</w:t>
      </w:r>
      <w:r>
        <w:br/>
      </w:r>
      <w:r>
        <w:rPr>
          <w:rStyle w:val="VerbatimChar"/>
        </w:rPr>
        <w:lastRenderedPageBreak/>
        <w:t>└── Major changes since 2016</w:t>
      </w:r>
      <w:r>
        <w:br/>
      </w:r>
      <w:r>
        <w:br/>
      </w:r>
      <w:r>
        <w:rPr>
          <w:rStyle w:val="VerbatimChar"/>
        </w:rPr>
        <w:t>Data and methodological notes</w:t>
      </w:r>
      <w:r>
        <w:br/>
      </w:r>
      <w:r>
        <w:rPr>
          <w:rStyle w:val="VerbatimChar"/>
        </w:rPr>
        <w:t>└── Quantitative analysis</w:t>
      </w:r>
      <w:r>
        <w:br/>
      </w:r>
      <w:r>
        <w:rPr>
          <w:rStyle w:val="VerbatimChar"/>
        </w:rPr>
        <w:t>└── Qualitative analysis</w:t>
      </w:r>
      <w:r>
        <w:br/>
      </w:r>
      <w:r>
        <w:br/>
      </w:r>
      <w:r>
        <w:rPr>
          <w:rStyle w:val="VerbatimChar"/>
        </w:rPr>
        <w:t>Important terms and references</w:t>
      </w:r>
      <w:r>
        <w:br/>
      </w:r>
      <w:r>
        <w:br/>
      </w:r>
      <w:r>
        <w:rPr>
          <w:rStyle w:val="VerbatimChar"/>
        </w:rPr>
        <w:t>Household characteristics</w:t>
      </w:r>
      <w:r>
        <w:br/>
      </w:r>
      <w:r>
        <w:rPr>
          <w:rStyle w:val="VerbatimChar"/>
        </w:rPr>
        <w:t>└── Household demographics</w:t>
      </w:r>
      <w:r>
        <w:br/>
      </w:r>
      <w:r>
        <w:rPr>
          <w:rStyle w:val="VerbatimChar"/>
        </w:rPr>
        <w:t>└── Household composition and living arrangement</w:t>
      </w:r>
      <w:r>
        <w:br/>
      </w:r>
      <w:r>
        <w:rPr>
          <w:rStyle w:val="VerbatimChar"/>
        </w:rPr>
        <w:t>└── Households by tenure</w:t>
      </w:r>
      <w:r>
        <w:br/>
      </w:r>
      <w:r>
        <w:br/>
      </w:r>
      <w:r>
        <w:rPr>
          <w:rStyle w:val="VerbatimChar"/>
        </w:rPr>
        <w:t>Market dynamics</w:t>
      </w:r>
      <w:r>
        <w:br/>
      </w:r>
      <w:r>
        <w:rPr>
          <w:rStyle w:val="VerbatimChar"/>
        </w:rPr>
        <w:t>└── Rental</w:t>
      </w:r>
      <w:r>
        <w:br/>
      </w:r>
      <w:r>
        <w:rPr>
          <w:rStyle w:val="VerbatimChar"/>
        </w:rPr>
        <w:t>└── Homeownership</w:t>
      </w:r>
      <w:r>
        <w:br/>
      </w:r>
      <w:r>
        <w:rPr>
          <w:rStyle w:val="VerbatimChar"/>
        </w:rPr>
        <w:t>└── Vacant housing</w:t>
      </w:r>
      <w:r>
        <w:br/>
      </w:r>
      <w:r>
        <w:br/>
      </w:r>
      <w:r>
        <w:rPr>
          <w:rStyle w:val="VerbatimChar"/>
        </w:rPr>
        <w:t>Housing affordability</w:t>
      </w:r>
      <w:r>
        <w:br/>
      </w:r>
      <w:r>
        <w:rPr>
          <w:rStyle w:val="VerbatimChar"/>
        </w:rPr>
        <w:t>└── Workforce housing affordability</w:t>
      </w:r>
      <w:r>
        <w:br/>
      </w:r>
      <w:r>
        <w:rPr>
          <w:rStyle w:val="VerbatimChar"/>
        </w:rPr>
        <w:t>└── Affordable housing</w:t>
      </w:r>
      <w:r>
        <w:br/>
      </w:r>
      <w:r>
        <w:rPr>
          <w:rStyle w:val="VerbatimChar"/>
        </w:rPr>
        <w:t>└── Owned/for─sale gap analysis</w:t>
      </w:r>
      <w:r>
        <w:br/>
      </w:r>
      <w:r>
        <w:rPr>
          <w:rStyle w:val="VerbatimChar"/>
        </w:rPr>
        <w:t>└── Naturally occurring affordable housing (NOAH)</w:t>
      </w:r>
      <w:r>
        <w:br/>
      </w:r>
      <w:r>
        <w:br/>
      </w:r>
      <w:r>
        <w:rPr>
          <w:rStyle w:val="VerbatimChar"/>
        </w:rPr>
        <w:t>Conclusions</w:t>
      </w:r>
      <w:r>
        <w:br/>
      </w:r>
      <w:r>
        <w:br/>
      </w:r>
      <w:r>
        <w:rPr>
          <w:rStyle w:val="VerbatimChar"/>
        </w:rPr>
        <w:t>Solutions</w:t>
      </w:r>
      <w:r>
        <w:br/>
      </w:r>
      <w:r>
        <w:rPr>
          <w:rStyle w:val="VerbatimChar"/>
        </w:rPr>
        <w:t>└── Overview</w:t>
      </w:r>
      <w:r>
        <w:br/>
      </w:r>
      <w:r>
        <w:rPr>
          <w:rStyle w:val="VerbatimChar"/>
        </w:rPr>
        <w:t>└── Strategic priorities</w:t>
      </w:r>
      <w:r>
        <w:br/>
      </w:r>
      <w:r>
        <w:rPr>
          <w:rStyle w:val="VerbatimChar"/>
        </w:rPr>
        <w:t>└── Easy wins</w:t>
      </w:r>
      <w:r>
        <w:br/>
      </w:r>
      <w:r>
        <w:rPr>
          <w:rStyle w:val="VerbatimChar"/>
        </w:rPr>
        <w:t>└── Background work</w:t>
      </w:r>
      <w:r>
        <w:br/>
      </w:r>
      <w:r>
        <w:br/>
      </w:r>
      <w:r>
        <w:rPr>
          <w:rStyle w:val="VerbatimChar"/>
        </w:rPr>
        <w:t>Appendices</w:t>
      </w:r>
      <w:r>
        <w:br/>
      </w:r>
      <w:r>
        <w:rPr>
          <w:rStyle w:val="VerbatimChar"/>
        </w:rPr>
        <w:t>└── Appendix 1: Public and expert engagement</w:t>
      </w:r>
      <w:r>
        <w:br/>
      </w:r>
      <w:r>
        <w:rPr>
          <w:rStyle w:val="VerbatimChar"/>
        </w:rPr>
        <w:t>└── Appendix 2: Workforce housing affordability analysis</w:t>
      </w:r>
      <w:r>
        <w:br/>
      </w:r>
      <w:r>
        <w:rPr>
          <w:rStyle w:val="VerbatimChar"/>
        </w:rPr>
        <w:t>└── Appendix 3: Naturally occurring affordable housing analysis</w:t>
      </w:r>
    </w:p>
    <w:p w14:paraId="0D3389A0" w14:textId="77777777" w:rsidR="000A5CD9" w:rsidRDefault="00000000">
      <w:pPr>
        <w:pStyle w:val="FirstParagraph"/>
      </w:pPr>
      <w:r>
        <w:t>Revised outline?</w:t>
      </w:r>
    </w:p>
    <w:p w14:paraId="0D337381" w14:textId="77777777" w:rsidR="000A5CD9" w:rsidRDefault="00000000">
      <w:pPr>
        <w:pStyle w:val="SourceCode"/>
      </w:pPr>
      <w:r>
        <w:rPr>
          <w:rStyle w:val="VerbatimChar"/>
        </w:rPr>
        <w:t>Executive summary</w:t>
      </w:r>
      <w:r>
        <w:br/>
      </w:r>
      <w:r>
        <w:br/>
      </w:r>
      <w:r>
        <w:rPr>
          <w:rStyle w:val="VerbatimChar"/>
        </w:rPr>
        <w:t>Preface</w:t>
      </w:r>
      <w:r>
        <w:br/>
      </w:r>
      <w:r>
        <w:rPr>
          <w:rStyle w:val="VerbatimChar"/>
        </w:rPr>
        <w:t>└── About VCHR and HFV</w:t>
      </w:r>
      <w:r>
        <w:br/>
      </w:r>
      <w:r>
        <w:rPr>
          <w:rStyle w:val="VerbatimChar"/>
        </w:rPr>
        <w:t>└── Acknowledgements</w:t>
      </w:r>
      <w:r>
        <w:br/>
      </w:r>
      <w:r>
        <w:rPr>
          <w:rStyle w:val="VerbatimChar"/>
        </w:rPr>
        <w:t>└── Scope of work and process</w:t>
      </w:r>
      <w:r>
        <w:br/>
      </w:r>
      <w:r>
        <w:br/>
      </w:r>
      <w:r>
        <w:rPr>
          <w:rStyle w:val="VerbatimChar"/>
        </w:rPr>
        <w:t>Introduction</w:t>
      </w:r>
      <w:r>
        <w:br/>
      </w:r>
      <w:r>
        <w:rPr>
          <w:rStyle w:val="VerbatimChar"/>
        </w:rPr>
        <w:t>└── Major changes since 2016</w:t>
      </w:r>
      <w:r>
        <w:br/>
      </w:r>
      <w:r>
        <w:rPr>
          <w:rStyle w:val="VerbatimChar"/>
        </w:rPr>
        <w:t>└── Data and methodological notes</w:t>
      </w:r>
      <w:r>
        <w:br/>
      </w:r>
      <w:r>
        <w:rPr>
          <w:rStyle w:val="VerbatimChar"/>
        </w:rPr>
        <w:t xml:space="preserve">  └── Quantitative analysis</w:t>
      </w:r>
      <w:r>
        <w:br/>
      </w:r>
      <w:r>
        <w:rPr>
          <w:rStyle w:val="VerbatimChar"/>
        </w:rPr>
        <w:t xml:space="preserve">  └── Qualitative analysis</w:t>
      </w:r>
      <w:r>
        <w:br/>
      </w:r>
      <w:r>
        <w:rPr>
          <w:rStyle w:val="VerbatimChar"/>
        </w:rPr>
        <w:t>└── Important terms and references</w:t>
      </w:r>
      <w:r>
        <w:br/>
      </w:r>
      <w:r>
        <w:br/>
      </w:r>
      <w:r>
        <w:rPr>
          <w:rStyle w:val="VerbatimChar"/>
        </w:rPr>
        <w:lastRenderedPageBreak/>
        <w:t>Household characteristics</w:t>
      </w:r>
      <w:r>
        <w:br/>
      </w:r>
      <w:r>
        <w:rPr>
          <w:rStyle w:val="VerbatimChar"/>
        </w:rPr>
        <w:t>└── Household demographics</w:t>
      </w:r>
      <w:r>
        <w:br/>
      </w:r>
      <w:r>
        <w:rPr>
          <w:rStyle w:val="VerbatimChar"/>
        </w:rPr>
        <w:t>└── Household composition and living arrangement</w:t>
      </w:r>
      <w:r>
        <w:br/>
      </w:r>
      <w:r>
        <w:rPr>
          <w:rStyle w:val="VerbatimChar"/>
        </w:rPr>
        <w:t>└── Households by tenure</w:t>
      </w:r>
      <w:r>
        <w:br/>
      </w:r>
      <w:r>
        <w:br/>
      </w:r>
      <w:r>
        <w:rPr>
          <w:rStyle w:val="VerbatimChar"/>
        </w:rPr>
        <w:t>Market dynamics</w:t>
      </w:r>
      <w:r>
        <w:br/>
      </w:r>
      <w:r>
        <w:rPr>
          <w:rStyle w:val="VerbatimChar"/>
        </w:rPr>
        <w:t>└── Rental</w:t>
      </w:r>
      <w:r>
        <w:br/>
      </w:r>
      <w:r>
        <w:rPr>
          <w:rStyle w:val="VerbatimChar"/>
        </w:rPr>
        <w:t>└── Homeownership</w:t>
      </w:r>
      <w:r>
        <w:br/>
      </w:r>
      <w:r>
        <w:rPr>
          <w:rStyle w:val="VerbatimChar"/>
        </w:rPr>
        <w:t>└── Vacant housing</w:t>
      </w:r>
      <w:r>
        <w:br/>
      </w:r>
      <w:r>
        <w:br/>
      </w:r>
      <w:r>
        <w:rPr>
          <w:rStyle w:val="VerbatimChar"/>
        </w:rPr>
        <w:t>Housing affordability</w:t>
      </w:r>
      <w:r>
        <w:br/>
      </w:r>
      <w:r>
        <w:rPr>
          <w:rStyle w:val="VerbatimChar"/>
        </w:rPr>
        <w:t>└── Workforce housing affordability</w:t>
      </w:r>
      <w:r>
        <w:br/>
      </w:r>
      <w:r>
        <w:rPr>
          <w:rStyle w:val="VerbatimChar"/>
        </w:rPr>
        <w:t>└── Affordable housing</w:t>
      </w:r>
      <w:r>
        <w:br/>
      </w:r>
      <w:r>
        <w:rPr>
          <w:rStyle w:val="VerbatimChar"/>
        </w:rPr>
        <w:t>└── Owned/for-sale gap analysis</w:t>
      </w:r>
      <w:r>
        <w:br/>
      </w:r>
      <w:r>
        <w:rPr>
          <w:rStyle w:val="VerbatimChar"/>
        </w:rPr>
        <w:t>└── Naturally occurring affordable housing (NOAH)</w:t>
      </w:r>
      <w:r>
        <w:br/>
      </w:r>
      <w:r>
        <w:br/>
      </w:r>
      <w:r>
        <w:rPr>
          <w:rStyle w:val="VerbatimChar"/>
        </w:rPr>
        <w:t>Conclusions</w:t>
      </w:r>
      <w:r>
        <w:br/>
      </w:r>
      <w:r>
        <w:br/>
      </w:r>
      <w:r>
        <w:rPr>
          <w:rStyle w:val="VerbatimChar"/>
        </w:rPr>
        <w:t>Solutions</w:t>
      </w:r>
      <w:r>
        <w:br/>
      </w:r>
      <w:r>
        <w:rPr>
          <w:rStyle w:val="VerbatimChar"/>
        </w:rPr>
        <w:t>└── Overview</w:t>
      </w:r>
      <w:r>
        <w:br/>
      </w:r>
      <w:r>
        <w:rPr>
          <w:rStyle w:val="VerbatimChar"/>
        </w:rPr>
        <w:t>└── Strategic priorities</w:t>
      </w:r>
      <w:r>
        <w:br/>
      </w:r>
      <w:r>
        <w:rPr>
          <w:rStyle w:val="VerbatimChar"/>
        </w:rPr>
        <w:t>└── Easy wins</w:t>
      </w:r>
      <w:r>
        <w:br/>
      </w:r>
      <w:r>
        <w:rPr>
          <w:rStyle w:val="VerbatimChar"/>
        </w:rPr>
        <w:t>└── Background work</w:t>
      </w:r>
      <w:r>
        <w:br/>
      </w:r>
      <w:r>
        <w:br/>
      </w:r>
      <w:r>
        <w:rPr>
          <w:rStyle w:val="VerbatimChar"/>
        </w:rPr>
        <w:t>Appendices</w:t>
      </w:r>
      <w:r>
        <w:br/>
      </w:r>
      <w:r>
        <w:rPr>
          <w:rStyle w:val="VerbatimChar"/>
        </w:rPr>
        <w:t>└── Appendix 1: Public and expert engagement</w:t>
      </w:r>
      <w:r>
        <w:br/>
      </w:r>
      <w:r>
        <w:rPr>
          <w:rStyle w:val="VerbatimChar"/>
        </w:rPr>
        <w:t>└── Appendix 2: Workforce housing affordability analysis</w:t>
      </w:r>
      <w:r>
        <w:br/>
      </w:r>
      <w:r>
        <w:rPr>
          <w:rStyle w:val="VerbatimChar"/>
        </w:rPr>
        <w:t>└── Appendix 3: Naturally occurring affordable housing analysis</w:t>
      </w:r>
    </w:p>
    <w:p w14:paraId="09E2CE12" w14:textId="77777777" w:rsidR="000A5CD9" w:rsidRDefault="00000000">
      <w:pPr>
        <w:pStyle w:val="Heading1"/>
      </w:pPr>
      <w:bookmarkStart w:id="7" w:name="executive-summary"/>
      <w:bookmarkStart w:id="8" w:name="_Toc149132724"/>
      <w:bookmarkEnd w:id="0"/>
      <w:bookmarkEnd w:id="5"/>
      <w:r>
        <w:t>Executive summary</w:t>
      </w:r>
      <w:bookmarkEnd w:id="8"/>
    </w:p>
    <w:p w14:paraId="5D083079" w14:textId="77777777" w:rsidR="000A5CD9" w:rsidRDefault="00000000">
      <w:pPr>
        <w:pStyle w:val="FirstParagraph"/>
      </w:pPr>
      <w:r>
        <w:t>Goes here</w:t>
      </w:r>
    </w:p>
    <w:p w14:paraId="1E388B0B" w14:textId="77777777" w:rsidR="000A5CD9" w:rsidRDefault="00000000">
      <w:pPr>
        <w:pStyle w:val="Heading1"/>
      </w:pPr>
      <w:bookmarkStart w:id="9" w:name="preface"/>
      <w:bookmarkStart w:id="10" w:name="_Toc149132725"/>
      <w:bookmarkEnd w:id="7"/>
      <w:r>
        <w:t>Preface</w:t>
      </w:r>
      <w:bookmarkEnd w:id="10"/>
    </w:p>
    <w:p w14:paraId="7A3AECD9" w14:textId="77777777" w:rsidR="000A5CD9" w:rsidRDefault="00000000">
      <w:pPr>
        <w:pStyle w:val="FirstParagraph"/>
      </w:pPr>
      <w:r>
        <w:t>Goes here</w:t>
      </w:r>
    </w:p>
    <w:p w14:paraId="419D4874" w14:textId="77777777" w:rsidR="000A5CD9" w:rsidRDefault="00000000">
      <w:pPr>
        <w:pStyle w:val="Heading1"/>
      </w:pPr>
      <w:bookmarkStart w:id="11" w:name="data-and-methodological-notes"/>
      <w:bookmarkStart w:id="12" w:name="_Toc149132726"/>
      <w:bookmarkEnd w:id="9"/>
      <w:r>
        <w:t>1. Data and methodological notes</w:t>
      </w:r>
      <w:bookmarkEnd w:id="12"/>
    </w:p>
    <w:p w14:paraId="49F15B4A" w14:textId="77777777" w:rsidR="000A5CD9" w:rsidRDefault="00000000">
      <w:pPr>
        <w:pStyle w:val="Heading2"/>
      </w:pPr>
      <w:bookmarkStart w:id="13" w:name="quantitative-analysis"/>
      <w:bookmarkStart w:id="14" w:name="_Toc149132727"/>
      <w:r>
        <w:t>1.1 Quantitative analysis</w:t>
      </w:r>
      <w:bookmarkEnd w:id="14"/>
    </w:p>
    <w:p w14:paraId="4B47F4DB" w14:textId="77777777" w:rsidR="000A5CD9" w:rsidRDefault="00000000">
      <w:pPr>
        <w:pStyle w:val="FirstParagraph"/>
      </w:pPr>
      <w:r>
        <w:t>…</w:t>
      </w:r>
    </w:p>
    <w:p w14:paraId="228960A2" w14:textId="77777777" w:rsidR="000A5CD9" w:rsidRDefault="00000000">
      <w:pPr>
        <w:pStyle w:val="Heading2"/>
      </w:pPr>
      <w:bookmarkStart w:id="15" w:name="qualitative-analysis"/>
      <w:bookmarkStart w:id="16" w:name="_Toc149132728"/>
      <w:bookmarkEnd w:id="13"/>
      <w:r>
        <w:t>1.2 Qualitative analysis</w:t>
      </w:r>
      <w:bookmarkEnd w:id="16"/>
    </w:p>
    <w:p w14:paraId="0B4CEFFC" w14:textId="77777777" w:rsidR="000A5CD9" w:rsidRDefault="00000000">
      <w:pPr>
        <w:pStyle w:val="FirstParagraph"/>
      </w:pPr>
      <w:r>
        <w:t>…</w:t>
      </w:r>
    </w:p>
    <w:p w14:paraId="219F54D1" w14:textId="77777777" w:rsidR="000A5CD9" w:rsidRDefault="00000000">
      <w:pPr>
        <w:pStyle w:val="Heading1"/>
      </w:pPr>
      <w:bookmarkStart w:id="17" w:name="overview"/>
      <w:bookmarkStart w:id="18" w:name="_Toc149132729"/>
      <w:bookmarkEnd w:id="11"/>
      <w:bookmarkEnd w:id="15"/>
      <w:r>
        <w:lastRenderedPageBreak/>
        <w:t>2. Overview</w:t>
      </w:r>
      <w:bookmarkEnd w:id="18"/>
    </w:p>
    <w:p w14:paraId="7885873A" w14:textId="77777777" w:rsidR="000A5CD9" w:rsidRDefault="00000000">
      <w:pPr>
        <w:pStyle w:val="Heading2"/>
      </w:pPr>
      <w:bookmarkStart w:id="19" w:name="policy-matrix"/>
      <w:bookmarkStart w:id="20" w:name="_Toc149132730"/>
      <w:r>
        <w:t>2.1 Policy matrix</w:t>
      </w:r>
      <w:bookmarkEnd w:id="20"/>
    </w:p>
    <w:p w14:paraId="35A1A9D7" w14:textId="77777777" w:rsidR="000A5CD9" w:rsidRDefault="00000000">
      <w:pPr>
        <w:pStyle w:val="FirstParagraph"/>
      </w:pPr>
      <w:r>
        <w:t>…</w:t>
      </w:r>
    </w:p>
    <w:p w14:paraId="15FD7AFE" w14:textId="77777777" w:rsidR="000A5CD9" w:rsidRDefault="00000000">
      <w:pPr>
        <w:pStyle w:val="Heading2"/>
      </w:pPr>
      <w:bookmarkStart w:id="21" w:name="policy-rankings"/>
      <w:bookmarkStart w:id="22" w:name="_Toc149132731"/>
      <w:bookmarkEnd w:id="19"/>
      <w:r>
        <w:t>2.2 Policy rankings</w:t>
      </w:r>
      <w:bookmarkEnd w:id="22"/>
    </w:p>
    <w:p w14:paraId="38642C9A" w14:textId="77777777" w:rsidR="000A5CD9" w:rsidRDefault="00000000">
      <w:pPr>
        <w:pStyle w:val="FirstParagraph"/>
      </w:pPr>
      <w:r>
        <w:t>…</w:t>
      </w:r>
    </w:p>
    <w:p w14:paraId="760FF0F9" w14:textId="77777777" w:rsidR="000A5CD9" w:rsidRDefault="00000000">
      <w:pPr>
        <w:pStyle w:val="Heading1"/>
      </w:pPr>
      <w:bookmarkStart w:id="23" w:name="references"/>
      <w:bookmarkStart w:id="24" w:name="_Toc149132732"/>
      <w:bookmarkEnd w:id="17"/>
      <w:bookmarkEnd w:id="21"/>
      <w:r>
        <w:t>References</w:t>
      </w:r>
      <w:bookmarkEnd w:id="24"/>
    </w:p>
    <w:p w14:paraId="5C9C8946" w14:textId="77777777" w:rsidR="000A5CD9" w:rsidRDefault="00000000">
      <w:pPr>
        <w:pStyle w:val="Bibliography"/>
      </w:pPr>
      <w:bookmarkStart w:id="25" w:name="ref-ref1"/>
      <w:bookmarkStart w:id="26" w:name="refs"/>
      <w:r>
        <w:t xml:space="preserve">Last, First X. 2023. “Title.” </w:t>
      </w:r>
      <w:r>
        <w:rPr>
          <w:i/>
          <w:iCs/>
        </w:rPr>
        <w:t>Journal</w:t>
      </w:r>
      <w:r>
        <w:t xml:space="preserve"> 12 (3): 45–67. </w:t>
      </w:r>
      <w:hyperlink r:id="rId11">
        <w:r>
          <w:rPr>
            <w:rStyle w:val="Hyperlink"/>
          </w:rPr>
          <w:t>https://doi.org/10.1093/comjnl/27.2.97</w:t>
        </w:r>
      </w:hyperlink>
      <w:r>
        <w:t>.</w:t>
      </w:r>
    </w:p>
    <w:p w14:paraId="7C4B3657" w14:textId="77777777" w:rsidR="000A5CD9" w:rsidRDefault="00000000">
      <w:pPr>
        <w:pStyle w:val="Heading1"/>
      </w:pPr>
      <w:bookmarkStart w:id="27" w:name="public-and-expert-engagement"/>
      <w:bookmarkStart w:id="28" w:name="_Toc149132733"/>
      <w:bookmarkEnd w:id="23"/>
      <w:bookmarkEnd w:id="25"/>
      <w:bookmarkEnd w:id="26"/>
      <w:r>
        <w:t>Appendix A — Public and expert engagement</w:t>
      </w:r>
      <w:bookmarkEnd w:id="27"/>
      <w:bookmarkEnd w:id="28"/>
    </w:p>
    <w:sectPr w:rsidR="000A5CD9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9E5B" w14:textId="77777777" w:rsidR="007D28F7" w:rsidRDefault="007D28F7">
      <w:pPr>
        <w:spacing w:after="0"/>
      </w:pPr>
      <w:r>
        <w:separator/>
      </w:r>
    </w:p>
  </w:endnote>
  <w:endnote w:type="continuationSeparator" w:id="0">
    <w:p w14:paraId="5658B1F8" w14:textId="77777777" w:rsidR="007D28F7" w:rsidRDefault="007D28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2E15C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C5AB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1ED69" w14:textId="77777777" w:rsidR="007D28F7" w:rsidRDefault="007D28F7">
      <w:r>
        <w:separator/>
      </w:r>
    </w:p>
  </w:footnote>
  <w:footnote w:type="continuationSeparator" w:id="0">
    <w:p w14:paraId="42DD607C" w14:textId="77777777" w:rsidR="007D28F7" w:rsidRDefault="007D28F7">
      <w:r>
        <w:continuationSeparator/>
      </w:r>
    </w:p>
  </w:footnote>
  <w:footnote w:id="1">
    <w:p w14:paraId="465945E7" w14:textId="77777777" w:rsidR="000A5CD9" w:rsidRDefault="00000000">
      <w:pPr>
        <w:pStyle w:val="FootnoteText"/>
      </w:pPr>
      <w:r>
        <w:rPr>
          <w:rStyle w:val="FootnoteReference"/>
        </w:rPr>
        <w:footnoteRef/>
      </w:r>
      <w:r>
        <w:t xml:space="preserve"> I’m the footnote.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0265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FC9D2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84A3B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E7788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75267196">
    <w:abstractNumId w:val="3"/>
  </w:num>
  <w:num w:numId="2" w16cid:durableId="1288124971">
    <w:abstractNumId w:val="0"/>
  </w:num>
  <w:num w:numId="3" w16cid:durableId="758797041">
    <w:abstractNumId w:val="1"/>
  </w:num>
  <w:num w:numId="4" w16cid:durableId="2146239020">
    <w:abstractNumId w:val="1"/>
  </w:num>
  <w:num w:numId="5" w16cid:durableId="983775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5CD9"/>
    <w:rsid w:val="000A5CD9"/>
    <w:rsid w:val="007D28F7"/>
    <w:rsid w:val="009A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2724"/>
  <w15:docId w15:val="{7CFD3F58-FF38-4705-BE39-04B536FB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879"/>
    <w:rPr>
      <w:rFonts w:ascii="Open Sans" w:hAnsi="Open Sans"/>
      <w:color w:val="3F3C3A" w:themeColor="text1" w:themeTint="D9"/>
      <w:sz w:val="20"/>
    </w:rPr>
  </w:style>
  <w:style w:type="paragraph" w:styleId="Heading1">
    <w:name w:val="heading 1"/>
    <w:basedOn w:val="Normal"/>
    <w:next w:val="BodyText"/>
    <w:uiPriority w:val="9"/>
    <w:qFormat/>
    <w:rsid w:val="007447AD"/>
    <w:pPr>
      <w:keepNext/>
      <w:keepLines/>
      <w:spacing w:before="240" w:after="240"/>
      <w:outlineLvl w:val="0"/>
    </w:pPr>
    <w:rPr>
      <w:rFonts w:ascii="Poppins SemiBold" w:eastAsiaTheme="majorEastAsia" w:hAnsi="Poppins SemiBold" w:cstheme="majorBidi"/>
      <w:bCs/>
      <w:color w:val="1A345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84154"/>
    <w:pPr>
      <w:keepNext/>
      <w:keepLines/>
      <w:spacing w:before="240" w:after="240"/>
      <w:outlineLvl w:val="1"/>
    </w:pPr>
    <w:rPr>
      <w:rFonts w:ascii="Poppins Medium" w:eastAsiaTheme="majorEastAsia" w:hAnsi="Poppins Medium" w:cstheme="majorBidi"/>
      <w:bCs/>
      <w:color w:val="1A345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84154"/>
    <w:pPr>
      <w:keepNext/>
      <w:keepLines/>
      <w:spacing w:before="200" w:after="240"/>
      <w:outlineLvl w:val="2"/>
    </w:pPr>
    <w:rPr>
      <w:rFonts w:ascii="Poppins Medium" w:eastAsiaTheme="majorEastAsia" w:hAnsi="Poppins Medium" w:cstheme="majorBidi"/>
      <w:bCs/>
      <w:color w:val="3A9F9C" w:themeColor="accent4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884154"/>
    <w:pPr>
      <w:keepNext/>
      <w:keepLines/>
      <w:spacing w:before="120" w:after="120"/>
      <w:outlineLvl w:val="3"/>
    </w:pPr>
    <w:rPr>
      <w:rFonts w:ascii="Open Sans Semibold" w:eastAsiaTheme="majorEastAsia" w:hAnsi="Open Sans Semibold" w:cstheme="majorBidi"/>
      <w:bCs/>
      <w:color w:val="B1005F" w:themeColor="accent5"/>
    </w:rPr>
  </w:style>
  <w:style w:type="paragraph" w:styleId="Heading5">
    <w:name w:val="heading 5"/>
    <w:basedOn w:val="Normal"/>
    <w:next w:val="BodyText"/>
    <w:uiPriority w:val="9"/>
    <w:unhideWhenUsed/>
    <w:qFormat/>
    <w:rsid w:val="007447AD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iCs/>
      <w:color w:val="33312F" w:themeColor="text1" w:themeTint="E6"/>
      <w:sz w:val="1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A3454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1A3454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BC4CEB"/>
    <w:pPr>
      <w:spacing w:before="180" w:after="180"/>
    </w:pPr>
    <w:rPr>
      <w:sz w:val="18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84154"/>
    <w:pPr>
      <w:keepNext/>
      <w:keepLines/>
      <w:spacing w:before="120" w:after="0"/>
      <w:jc w:val="center"/>
    </w:pPr>
    <w:rPr>
      <w:rFonts w:ascii="Poppins SemiBold" w:eastAsiaTheme="majorEastAsia" w:hAnsi="Poppins SemiBold" w:cstheme="majorBidi"/>
      <w:bCs/>
      <w:color w:val="1A3454" w:themeColor="accent1"/>
      <w:sz w:val="36"/>
      <w:szCs w:val="36"/>
    </w:rPr>
  </w:style>
  <w:style w:type="paragraph" w:styleId="Subtitle">
    <w:name w:val="Subtitle"/>
    <w:basedOn w:val="Title"/>
    <w:next w:val="BodyText"/>
    <w:qFormat/>
    <w:rsid w:val="00BC4CEB"/>
    <w:pPr>
      <w:spacing w:before="0" w:after="240"/>
    </w:pPr>
    <w:rPr>
      <w:rFonts w:ascii="Poppins Medium" w:hAnsi="Poppins Medium"/>
      <w:sz w:val="30"/>
      <w:szCs w:val="30"/>
    </w:rPr>
  </w:style>
  <w:style w:type="paragraph" w:customStyle="1" w:styleId="Author">
    <w:name w:val="Author"/>
    <w:next w:val="BodyText"/>
    <w:qFormat/>
    <w:rsid w:val="00B366B6"/>
    <w:pPr>
      <w:keepNext/>
      <w:keepLines/>
      <w:spacing w:before="480" w:after="120"/>
      <w:contextualSpacing/>
      <w:jc w:val="center"/>
    </w:pPr>
    <w:rPr>
      <w:rFonts w:ascii="Open Sans" w:hAnsi="Open Sans"/>
      <w:color w:val="1C1B1A" w:themeColor="text1"/>
      <w:sz w:val="20"/>
    </w:rPr>
  </w:style>
  <w:style w:type="paragraph" w:styleId="Date">
    <w:name w:val="Date"/>
    <w:next w:val="BodyText"/>
    <w:qFormat/>
    <w:rsid w:val="00BC4CEB"/>
    <w:pPr>
      <w:keepNext/>
      <w:keepLines/>
      <w:jc w:val="center"/>
    </w:pPr>
    <w:rPr>
      <w:rFonts w:ascii="Open Sans" w:hAnsi="Open Sans"/>
      <w:color w:val="1C1B1A" w:themeColor="text1"/>
      <w:sz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7189A"/>
    <w:pPr>
      <w:spacing w:before="120"/>
      <w:contextualSpacing/>
    </w:pPr>
    <w:rPr>
      <w:color w:val="575451" w:themeColor="text1" w:themeTint="BF"/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447AD"/>
    <w:pPr>
      <w:keepNext/>
      <w:keepLines/>
      <w:spacing w:after="0"/>
    </w:pPr>
    <w:rPr>
      <w:b/>
      <w:sz w:val="18"/>
    </w:rPr>
  </w:style>
  <w:style w:type="paragraph" w:customStyle="1" w:styleId="Definition">
    <w:name w:val="Definition"/>
    <w:basedOn w:val="Normal"/>
    <w:rsid w:val="007447AD"/>
    <w:rPr>
      <w:i/>
      <w:sz w:val="18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C4CEB"/>
    <w:pPr>
      <w:keepNext/>
    </w:pPr>
    <w:rPr>
      <w:sz w:val="18"/>
    </w:rPr>
  </w:style>
  <w:style w:type="paragraph" w:customStyle="1" w:styleId="ImageCaption">
    <w:name w:val="Image Caption"/>
    <w:basedOn w:val="Caption"/>
    <w:rsid w:val="00BC4CEB"/>
    <w:rPr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C4CEB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BC4CEB"/>
    <w:rPr>
      <w:color w:val="4780C6" w:themeColor="accent1" w:themeTint="99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rsid w:val="00884154"/>
    <w:pPr>
      <w:spacing w:line="259" w:lineRule="auto"/>
      <w:outlineLvl w:val="9"/>
    </w:pPr>
    <w:rPr>
      <w:bCs w:val="0"/>
    </w:rPr>
  </w:style>
  <w:style w:type="paragraph" w:styleId="Header">
    <w:name w:val="header"/>
    <w:basedOn w:val="Normal"/>
    <w:link w:val="HeaderChar"/>
    <w:rsid w:val="00A378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37879"/>
    <w:rPr>
      <w:rFonts w:ascii="Open Sans" w:hAnsi="Open Sans"/>
      <w:color w:val="3F3C3A" w:themeColor="text1" w:themeTint="D9"/>
      <w:sz w:val="20"/>
    </w:rPr>
  </w:style>
  <w:style w:type="paragraph" w:styleId="Footer">
    <w:name w:val="footer"/>
    <w:basedOn w:val="Normal"/>
    <w:link w:val="FooterChar"/>
    <w:uiPriority w:val="99"/>
    <w:rsid w:val="00A37879"/>
    <w:pPr>
      <w:tabs>
        <w:tab w:val="center" w:pos="4680"/>
        <w:tab w:val="right" w:pos="9360"/>
      </w:tabs>
      <w:spacing w:after="0"/>
    </w:pPr>
    <w:rPr>
      <w:color w:val="575451" w:themeColor="text1" w:themeTint="B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37879"/>
    <w:rPr>
      <w:rFonts w:ascii="Open Sans" w:hAnsi="Open Sans"/>
      <w:color w:val="575451" w:themeColor="text1" w:themeTint="BF"/>
      <w:sz w:val="16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0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0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0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0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0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0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0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0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0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0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0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0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0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0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0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0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0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0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0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0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0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0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0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0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0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0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0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0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0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0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0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9A195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A195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usingforwardva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comjnl/27.2.9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HFV">
      <a:dk1>
        <a:srgbClr val="1C1B1A"/>
      </a:dk1>
      <a:lt1>
        <a:sysClr val="window" lastClr="FFFFFF"/>
      </a:lt1>
      <a:dk2>
        <a:srgbClr val="1A3454"/>
      </a:dk2>
      <a:lt2>
        <a:srgbClr val="FFFCF0"/>
      </a:lt2>
      <a:accent1>
        <a:srgbClr val="1A3454"/>
      </a:accent1>
      <a:accent2>
        <a:srgbClr val="53C6C6"/>
      </a:accent2>
      <a:accent3>
        <a:srgbClr val="9691CF"/>
      </a:accent3>
      <a:accent4>
        <a:srgbClr val="3A9F9C"/>
      </a:accent4>
      <a:accent5>
        <a:srgbClr val="B1005F"/>
      </a:accent5>
      <a:accent6>
        <a:srgbClr val="E66B3F"/>
      </a:accent6>
      <a:hlink>
        <a:srgbClr val="53C6C6"/>
      </a:hlink>
      <a:folHlink>
        <a:srgbClr val="808EA0"/>
      </a:folHlink>
    </a:clrScheme>
    <a:fontScheme name="HFV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Beach Housing Study Update</dc:title>
  <dc:creator>Virginia Center for Housing Research; HousingForward Virginia</dc:creator>
  <cp:keywords/>
  <cp:lastModifiedBy>Jonathan Knopf</cp:lastModifiedBy>
  <cp:revision>2</cp:revision>
  <dcterms:created xsi:type="dcterms:W3CDTF">2023-10-21T03:06:00Z</dcterms:created>
  <dcterms:modified xsi:type="dcterms:W3CDTF">2023-10-25T17:25:00Z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October 20, 2023</vt:lpwstr>
  </property>
  <property fmtid="{D5CDD505-2E9C-101B-9397-08002B2CF9AE}" pid="9" name="date-format">
    <vt:lpwstr>long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