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4"/>
          <w:szCs w:val="34"/>
        </w:rPr>
        <w:t xml:space="preserve">Chapter 1: State of the Art, Comparative Study, Analysis and Synthesis</w:t>
      </w:r>
    </w:p>
    <w:p>
      <w:pPr>
        <w:pBdr>
          <w:bottom w:val="single" w:color="2E75B6" w:sz="6" w:space="1"/>
        </w:pBdr>
        <w:spacing w:after="200" w:before="200"/>
      </w:pPr>
    </w:p>
    <w:p>
      <w:pPr>
        <w:pStyle w:val="Heading2"/>
        <w:spacing w:after="160" w:before="280"/>
      </w:pPr>
      <w:r>
        <w:rPr>
          <w:rFonts w:ascii="Arial" w:cs="Arial" w:eastAsia="Arial" w:hAnsi="Arial"/>
          <w:b/>
          <w:bCs/>
          <w:sz w:val="28"/>
          <w:szCs w:val="28"/>
        </w:rPr>
        <w:t xml:space="preserve">1.1  Introduction</w:t>
      </w:r>
    </w:p>
    <w:p>
      <w:pPr>
        <w:spacing w:after="160" w:line="276"/>
        <w:jc w:val="both"/>
      </w:pPr>
      <w:r>
        <w:rPr>
          <w:rFonts w:ascii="Arial" w:cs="Arial" w:eastAsia="Arial" w:hAnsi="Arial"/>
          <w:sz w:val="22"/>
          <w:szCs w:val="22"/>
        </w:rPr>
        <w:t xml:space="preserve">This chapter provides a comprehensive review of the foundational concepts underpinning the present work. It begins by examining Industry 4.0 and the role of additive manufacturing within this paradigm, then surveys the principal 3D printing technologies, industrial maintenance strategies, and the digital twin concept. A comparative analysis of existing works concludes the chapter, positioning our contribution within the current state of the art.</w:t>
      </w:r>
    </w:p>
    <w:p>
      <w:pPr>
        <w:pStyle w:val="Heading2"/>
        <w:spacing w:after="160" w:before="280"/>
      </w:pPr>
      <w:r>
        <w:rPr>
          <w:rFonts w:ascii="Arial" w:cs="Arial" w:eastAsia="Arial" w:hAnsi="Arial"/>
          <w:b/>
          <w:bCs/>
          <w:sz w:val="28"/>
          <w:szCs w:val="28"/>
        </w:rPr>
        <w:t xml:space="preserve">1.2  Industry 4.0 and Additive Manufacturing</w:t>
      </w:r>
    </w:p>
    <w:p>
      <w:pPr>
        <w:pStyle w:val="Heading3"/>
        <w:spacing w:after="120" w:before="200"/>
      </w:pPr>
      <w:r>
        <w:rPr>
          <w:rFonts w:ascii="Arial" w:cs="Arial" w:eastAsia="Arial" w:hAnsi="Arial"/>
          <w:b/>
          <w:bCs/>
          <w:sz w:val="24"/>
          <w:szCs w:val="24"/>
        </w:rPr>
        <w:t xml:space="preserve">1.2.1  Definition</w:t>
      </w:r>
    </w:p>
    <w:p>
      <w:pPr>
        <w:spacing w:after="160" w:line="276"/>
        <w:jc w:val="both"/>
      </w:pPr>
      <w:r>
        <w:rPr>
          <w:rFonts w:ascii="Arial" w:cs="Arial" w:eastAsia="Arial" w:hAnsi="Arial"/>
          <w:sz w:val="22"/>
          <w:szCs w:val="22"/>
        </w:rPr>
        <w:t xml:space="preserve">The term </w:t>
      </w:r>
      <w:r>
        <w:rPr>
          <w:rFonts w:ascii="Arial" w:cs="Arial" w:eastAsia="Arial" w:hAnsi="Arial"/>
          <w:b/>
          <w:bCs/>
          <w:sz w:val="22"/>
          <w:szCs w:val="22"/>
        </w:rPr>
        <w:t xml:space="preserve">Industry 4.0</w:t>
      </w:r>
      <w:r>
        <w:rPr>
          <w:rFonts w:ascii="Arial" w:cs="Arial" w:eastAsia="Arial" w:hAnsi="Arial"/>
          <w:sz w:val="22"/>
          <w:szCs w:val="22"/>
        </w:rPr>
        <w:t xml:space="preserve"> (also referred to as the Fourth Industrial Revolution, or </w:t>
      </w:r>
      <w:r>
        <w:rPr>
          <w:rFonts w:ascii="Arial" w:cs="Arial" w:eastAsia="Arial" w:hAnsi="Arial"/>
          <w:i/>
          <w:iCs/>
          <w:sz w:val="22"/>
          <w:szCs w:val="22"/>
        </w:rPr>
        <w:t xml:space="preserve">4IR</w:t>
      </w:r>
      <w:r>
        <w:rPr>
          <w:rFonts w:ascii="Arial" w:cs="Arial" w:eastAsia="Arial" w:hAnsi="Arial"/>
          <w:sz w:val="22"/>
          <w:szCs w:val="22"/>
        </w:rPr>
        <w:t xml:space="preserve">) was first coined in 2011 by a group of German academics and officially introduced at the Hannover Messe fair in Germany as part of the national high-tech strategy </w:t>
      </w:r>
      <w:r>
        <w:rPr>
          <w:rFonts w:ascii="Arial" w:cs="Arial" w:eastAsia="Arial" w:hAnsi="Arial"/>
          <w:b/>
          <w:bCs/>
          <w:sz w:val="22"/>
          <w:szCs w:val="22"/>
        </w:rPr>
        <w:t xml:space="preserve"> [1]</w:t>
      </w:r>
      <w:r>
        <w:rPr>
          <w:rFonts w:ascii="Arial" w:cs="Arial" w:eastAsia="Arial" w:hAnsi="Arial"/>
          <w:sz w:val="22"/>
          <w:szCs w:val="22"/>
        </w:rPr>
        <w:t xml:space="preserve">. It describes a fundamental paradigm shift in industrial production, characterised by the deep integration of cyber-physical systems (CPS), the Internet of Things (IoT), artificial intelligence (AI), cloud computing, and big data analytics into manufacturing processes </w:t>
      </w:r>
      <w:r>
        <w:rPr>
          <w:rFonts w:ascii="Arial" w:cs="Arial" w:eastAsia="Arial" w:hAnsi="Arial"/>
          <w:b/>
          <w:bCs/>
          <w:sz w:val="22"/>
          <w:szCs w:val="22"/>
        </w:rPr>
        <w:t xml:space="preserve"> [2]</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International Society of Automation (ISA) defines Industry 4.0 as a concept initiated in Germany (Industrie 4.0) that is associated with smart manufacturing and the fourth industrial revolution, where digital transformation describes the process of integrating technology throughout and across an industrial organisation to fundamentally change the way it operates [3]. SAP, meanwhile, characterises it as the integration of intelligent digital technologies into manufacturing and industrial processes, encompassing IoT networks, AI, Big Data, robotics, and automation — all aimed at enabling smart manufacturing and the creation of intelligent factories [4].</w:t>
      </w:r>
    </w:p>
    <w:p>
      <w:pPr>
        <w:spacing w:after="160" w:line="276"/>
        <w:jc w:val="both"/>
      </w:pPr>
      <w:r>
        <w:rPr>
          <w:rFonts w:ascii="Arial" w:cs="Arial" w:eastAsia="Arial" w:hAnsi="Arial"/>
          <w:sz w:val="22"/>
          <w:szCs w:val="22"/>
        </w:rPr>
        <w:t xml:space="preserve">From a broader systemic perspective, Klaus Schwab (World Economic Forum) identifies three distinguishing features that set Industry 4.0 apart from its predecessors: (i) </w:t>
      </w:r>
      <w:r>
        <w:rPr>
          <w:rFonts w:ascii="Arial" w:cs="Arial" w:eastAsia="Arial" w:hAnsi="Arial"/>
          <w:b/>
          <w:bCs/>
          <w:sz w:val="22"/>
          <w:szCs w:val="22"/>
        </w:rPr>
        <w:t xml:space="preserve">velocity</w:t>
      </w:r>
      <w:r>
        <w:rPr>
          <w:rFonts w:ascii="Arial" w:cs="Arial" w:eastAsia="Arial" w:hAnsi="Arial"/>
          <w:sz w:val="22"/>
          <w:szCs w:val="22"/>
        </w:rPr>
        <w:t xml:space="preserve"> — the exponential pace of technological breakthroughs; (ii) </w:t>
      </w:r>
      <w:r>
        <w:rPr>
          <w:rFonts w:ascii="Arial" w:cs="Arial" w:eastAsia="Arial" w:hAnsi="Arial"/>
          <w:b/>
          <w:bCs/>
          <w:sz w:val="22"/>
          <w:szCs w:val="22"/>
        </w:rPr>
        <w:t xml:space="preserve">breadth and depth</w:t>
      </w:r>
      <w:r>
        <w:rPr>
          <w:rFonts w:ascii="Arial" w:cs="Arial" w:eastAsia="Arial" w:hAnsi="Arial"/>
          <w:sz w:val="22"/>
          <w:szCs w:val="22"/>
        </w:rPr>
        <w:t xml:space="preserve"> — its pervasive impact on entire economic and social structures, not merely production floors; and (iii) </w:t>
      </w:r>
      <w:r>
        <w:rPr>
          <w:rFonts w:ascii="Arial" w:cs="Arial" w:eastAsia="Arial" w:hAnsi="Arial"/>
          <w:b/>
          <w:bCs/>
          <w:sz w:val="22"/>
          <w:szCs w:val="22"/>
        </w:rPr>
        <w:t xml:space="preserve">systems impact</w:t>
      </w:r>
      <w:r>
        <w:rPr>
          <w:rFonts w:ascii="Arial" w:cs="Arial" w:eastAsia="Arial" w:hAnsi="Arial"/>
          <w:sz w:val="22"/>
          <w:szCs w:val="22"/>
        </w:rPr>
        <w:t xml:space="preserve"> — the creation of feedback loops between virtual models and physical assets through cyber-physical integration </w:t>
      </w:r>
      <w:r>
        <w:rPr>
          <w:rFonts w:ascii="Arial" w:cs="Arial" w:eastAsia="Arial" w:hAnsi="Arial"/>
          <w:b/>
          <w:bCs/>
          <w:sz w:val="22"/>
          <w:szCs w:val="22"/>
        </w:rPr>
        <w:t xml:space="preserve"> [5]</w:t>
      </w:r>
      <w:r>
        <w:rPr>
          <w:rFonts w:ascii="Arial" w:cs="Arial" w:eastAsia="Arial" w:hAnsi="Arial"/>
          <w:sz w:val="22"/>
          <w:szCs w:val="22"/>
        </w:rPr>
        <w:t xml:space="preserve">. IBM further synthesises this into a working definition: Industry 4.0 is synonymous with smart manufacturing and is the realisation of the digital transformation of the field, delivering real-time decision-making, enhanced productivity, flexibility, and agility </w:t>
      </w:r>
      <w:r>
        <w:rPr>
          <w:rFonts w:ascii="Arial" w:cs="Arial" w:eastAsia="Arial" w:hAnsi="Arial"/>
          <w:b/>
          <w:bCs/>
          <w:sz w:val="22"/>
          <w:szCs w:val="22"/>
        </w:rPr>
        <w:t xml:space="preserve"> [6]</w:t>
      </w:r>
      <w:r>
        <w:rPr>
          <w:rFonts w:ascii="Arial" w:cs="Arial" w:eastAsia="Arial" w:hAnsi="Arial"/>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2E75B6" w:sz="4"/>
              <w:right w:val="single" w:color="2E75B6" w:sz="4"/>
            </w:tcBorders>
            <w:shd w:fill="EBF3FC"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Key Definition — Industry 4.0</w:t>
            </w:r>
          </w:p>
          <w:p>
            <w:pPr>
              <w:spacing w:after="0"/>
              <w:jc w:val="both"/>
            </w:pPr>
            <w:r>
              <w:rPr>
                <w:rFonts w:ascii="Arial" w:cs="Arial" w:eastAsia="Arial" w:hAnsi="Arial"/>
                <w:i/>
                <w:iCs/>
                <w:sz w:val="20"/>
                <w:szCs w:val="20"/>
              </w:rPr>
              <w:t xml:space="preserve">Industry 4.0 is the integration of cyber-physical systems, the Internet of Things (IoT), artificial intelligence, cloud computing, and big data analytics into manufacturing and industrial processes, enabling real-time monitoring, autonomous decision-making, and intelligent, interconnected production ecosystems — also referred to as "smart manufacturing" or "smart factories".</w:t>
            </w:r>
          </w:p>
        </w:tc>
      </w:tr>
    </w:tbl>
    <w:p>
      <w:pPr>
        <w:spacing w:after="160"/>
      </w:pPr>
    </w:p>
    <w:p>
      <w:pPr>
        <w:spacing w:after="160" w:line="276"/>
        <w:jc w:val="both"/>
      </w:pPr>
      <w:r>
        <w:rPr>
          <w:rFonts w:ascii="Arial" w:cs="Arial" w:eastAsia="Arial" w:hAnsi="Arial"/>
          <w:sz w:val="22"/>
          <w:szCs w:val="22"/>
        </w:rPr>
        <w:t xml:space="preserve">Additive manufacturing (AM), commonly known as 3D printing, is recognised as one of the nine foundational technology pillars of Industry 4.0, alongside IoT, autonomous robots, simulation, horizontal and vertical system integration, industrial Internet, cloud computing, cybersecurity, and augmented reality [4]. AM allows the construction of complex geometric shapes directly from digital models through the successive addition of material layers, fundamentally reversing the logic of traditional subtractive manufacturing.</w:t>
      </w:r>
    </w:p>
    <w:p>
      <w:pPr>
        <w:spacing w:after="160" w:line="276"/>
        <w:jc w:val="both"/>
      </w:pPr>
      <w:r>
        <w:rPr>
          <w:rFonts w:ascii="Arial" w:cs="Arial" w:eastAsia="Arial" w:hAnsi="Arial"/>
          <w:sz w:val="22"/>
          <w:szCs w:val="22"/>
        </w:rPr>
        <w:t xml:space="preserve">The global additive manufacturing market reached an estimated value of </w:t>
      </w:r>
      <w:r>
        <w:rPr>
          <w:rFonts w:ascii="Arial" w:cs="Arial" w:eastAsia="Arial" w:hAnsi="Arial"/>
          <w:b/>
          <w:bCs/>
          <w:sz w:val="22"/>
          <w:szCs w:val="22"/>
        </w:rPr>
        <w:t xml:space="preserve">USD 30.55 billion in 2025</w:t>
      </w:r>
      <w:r>
        <w:rPr>
          <w:rFonts w:ascii="Arial" w:cs="Arial" w:eastAsia="Arial" w:hAnsi="Arial"/>
          <w:sz w:val="22"/>
          <w:szCs w:val="22"/>
        </w:rPr>
        <w:t xml:space="preserve"> and is projected to grow to USD 168.93 billion by 2033, expanding at a CAGR of 23.9% </w:t>
      </w:r>
      <w:r>
        <w:rPr>
          <w:rFonts w:ascii="Arial" w:cs="Arial" w:eastAsia="Arial" w:hAnsi="Arial"/>
          <w:b/>
          <w:bCs/>
          <w:sz w:val="22"/>
          <w:szCs w:val="22"/>
        </w:rPr>
        <w:t xml:space="preserve"> [7]</w:t>
      </w:r>
      <w:r>
        <w:rPr>
          <w:rFonts w:ascii="Arial" w:cs="Arial" w:eastAsia="Arial" w:hAnsi="Arial"/>
          <w:sz w:val="22"/>
          <w:szCs w:val="22"/>
        </w:rPr>
        <w:t xml:space="preserve">. This trajectory reflects the growing strategic importance of AM within Industry 4.0 ecosystems, particularly as industries integrate AM with IoT-enabled printers, AI-powered quality control systems, and cloud-based manufacturing platforms </w:t>
      </w:r>
      <w:r>
        <w:rPr>
          <w:rFonts w:ascii="Arial" w:cs="Arial" w:eastAsia="Arial" w:hAnsi="Arial"/>
          <w:b/>
          <w:bCs/>
          <w:sz w:val="22"/>
          <w:szCs w:val="22"/>
        </w:rPr>
        <w:t xml:space="preserve"> [8]</w:t>
      </w:r>
      <w:r>
        <w:rPr>
          <w:rFonts w:ascii="Arial" w:cs="Arial" w:eastAsia="Arial" w:hAnsi="Arial"/>
          <w:sz w:val="22"/>
          <w:szCs w:val="22"/>
        </w:rPr>
        <w:t xml:space="preserve">.</w:t>
      </w:r>
    </w:p>
    <w:p>
      <w:pPr>
        <w:pStyle w:val="Heading3"/>
        <w:spacing w:after="120" w:before="200"/>
      </w:pPr>
      <w:r>
        <w:rPr>
          <w:rFonts w:ascii="Arial" w:cs="Arial" w:eastAsia="Arial" w:hAnsi="Arial"/>
          <w:b/>
          <w:bCs/>
          <w:sz w:val="24"/>
          <w:szCs w:val="24"/>
        </w:rPr>
        <w:t xml:space="preserve">1.2.2  Industrial Challenges</w:t>
      </w:r>
    </w:p>
    <w:p>
      <w:pPr>
        <w:spacing w:after="160" w:line="276"/>
        <w:jc w:val="both"/>
      </w:pPr>
      <w:r>
        <w:rPr>
          <w:rFonts w:ascii="Arial" w:cs="Arial" w:eastAsia="Arial" w:hAnsi="Arial"/>
          <w:sz w:val="22"/>
          <w:szCs w:val="22"/>
        </w:rPr>
        <w:t xml:space="preserve">Despite the substantial promise of Industry 4.0, its adoption is impeded by a set of persistent industrial challenges that cut across technical, organisational, and economic dimensions. Understanding these challenges is essential context for the present work, which directly addresses several of them in the domain of additive manufacturing.</w:t>
      </w:r>
    </w:p>
    <w:p>
      <w:pPr>
        <w:spacing w:after="120"/>
      </w:pPr>
      <w:r>
        <w:rPr>
          <w:rFonts w:ascii="Arial" w:cs="Arial" w:eastAsia="Arial" w:hAnsi="Arial"/>
          <w:b/>
          <w:bCs/>
          <w:sz w:val="22"/>
          <w:szCs w:val="22"/>
          <w:u w:val="single"/>
        </w:rPr>
        <w:t xml:space="preserve">a)  Legacy System Integration and Interoperability</w:t>
      </w:r>
    </w:p>
    <w:p>
      <w:pPr>
        <w:spacing w:after="160" w:line="276"/>
        <w:jc w:val="both"/>
      </w:pPr>
      <w:r>
        <w:rPr>
          <w:rFonts w:ascii="Arial" w:cs="Arial" w:eastAsia="Arial" w:hAnsi="Arial"/>
          <w:sz w:val="22"/>
          <w:szCs w:val="22"/>
        </w:rPr>
        <w:t xml:space="preserve">One of the most widely reported barriers to Industry 4.0 adoption is the difficulty of integrating new digital technologies with pre-existing legacy infrastructure. A 2024 Industry 4.0 benchmarking study found that </w:t>
      </w:r>
      <w:r>
        <w:rPr>
          <w:rFonts w:ascii="Arial" w:cs="Arial" w:eastAsia="Arial" w:hAnsi="Arial"/>
          <w:b/>
          <w:bCs/>
          <w:sz w:val="22"/>
          <w:szCs w:val="22"/>
        </w:rPr>
        <w:t xml:space="preserve">IT system integration scored the lowest average maturity (1.99 out of 6)</w:t>
      </w:r>
      <w:r>
        <w:rPr>
          <w:rFonts w:ascii="Arial" w:cs="Arial" w:eastAsia="Arial" w:hAnsi="Arial"/>
          <w:sz w:val="22"/>
          <w:szCs w:val="22"/>
        </w:rPr>
        <w:t xml:space="preserve"> across all assessed capabilities, identifying legacy systems that lack modern interfaces, data silos that prevent smooth information exchange, and interoperability challenges as the primary barriers </w:t>
      </w:r>
      <w:r>
        <w:rPr>
          <w:rFonts w:ascii="Arial" w:cs="Arial" w:eastAsia="Arial" w:hAnsi="Arial"/>
          <w:b/>
          <w:bCs/>
          <w:sz w:val="22"/>
          <w:szCs w:val="22"/>
        </w:rPr>
        <w:t xml:space="preserve"> [9]</w:t>
      </w:r>
      <w:r>
        <w:rPr>
          <w:rFonts w:ascii="Arial" w:cs="Arial" w:eastAsia="Arial" w:hAnsi="Arial"/>
          <w:sz w:val="22"/>
          <w:szCs w:val="22"/>
        </w:rPr>
        <w:t xml:space="preserve">. Springer Nature research formalises this as follows: the transition to Industry 4.0 requires the modernisation of legacy systems, a process that poses challenges due to the different data formats and interfaces resulting from the heterogeneity of the components involved </w:t>
      </w:r>
      <w:r>
        <w:rPr>
          <w:rFonts w:ascii="Arial" w:cs="Arial" w:eastAsia="Arial" w:hAnsi="Arial"/>
          <w:b/>
          <w:bCs/>
          <w:sz w:val="22"/>
          <w:szCs w:val="22"/>
        </w:rPr>
        <w:t xml:space="preserve"> [10]</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A common mitigation strategy involves adopting middleware solutions such as OPC-UA gateways or Asset Administration Shell (AAS) frameworks that act as translation layers between old and new systems — an approach directly relevant to the sensor communication architecture of this thesis [10].</w:t>
      </w:r>
    </w:p>
    <w:p>
      <w:pPr>
        <w:spacing w:after="120"/>
      </w:pPr>
      <w:r>
        <w:rPr>
          <w:rFonts w:ascii="Arial" w:cs="Arial" w:eastAsia="Arial" w:hAnsi="Arial"/>
          <w:b/>
          <w:bCs/>
          <w:sz w:val="22"/>
          <w:szCs w:val="22"/>
          <w:u w:val="single"/>
        </w:rPr>
        <w:t xml:space="preserve">b)  Cybersecurity Risks in Connected Environments</w:t>
      </w:r>
    </w:p>
    <w:p>
      <w:pPr>
        <w:spacing w:after="160" w:line="276"/>
        <w:jc w:val="both"/>
      </w:pPr>
      <w:r>
        <w:rPr>
          <w:rFonts w:ascii="Arial" w:cs="Arial" w:eastAsia="Arial" w:hAnsi="Arial"/>
          <w:sz w:val="22"/>
          <w:szCs w:val="22"/>
        </w:rPr>
        <w:t xml:space="preserve">As factories connect machines, assets, and processes, they become increasingly exposed to cyber threats. Deloitte's 2025 Smart Manufacturing and Operations Survey of 600 executives found that </w:t>
      </w:r>
      <w:r>
        <w:rPr>
          <w:rFonts w:ascii="Arial" w:cs="Arial" w:eastAsia="Arial" w:hAnsi="Arial"/>
          <w:b/>
          <w:bCs/>
          <w:sz w:val="22"/>
          <w:szCs w:val="22"/>
        </w:rPr>
        <w:t xml:space="preserve">68% of respondents performed a cybersecurity risk assessment of their smart manufacturing technology stack</w:t>
      </w:r>
      <w:r>
        <w:rPr>
          <w:rFonts w:ascii="Arial" w:cs="Arial" w:eastAsia="Arial" w:hAnsi="Arial"/>
          <w:sz w:val="22"/>
          <w:szCs w:val="22"/>
        </w:rPr>
        <w:t xml:space="preserve"> in the previous year, reflecting growing awareness of this risk </w:t>
      </w:r>
      <w:r>
        <w:rPr>
          <w:rFonts w:ascii="Arial" w:cs="Arial" w:eastAsia="Arial" w:hAnsi="Arial"/>
          <w:b/>
          <w:bCs/>
          <w:sz w:val="22"/>
          <w:szCs w:val="22"/>
        </w:rPr>
        <w:t xml:space="preserve"> [11]</w:t>
      </w:r>
      <w:r>
        <w:rPr>
          <w:rFonts w:ascii="Arial" w:cs="Arial" w:eastAsia="Arial" w:hAnsi="Arial"/>
          <w:sz w:val="22"/>
          <w:szCs w:val="22"/>
        </w:rPr>
        <w:t xml:space="preserve">. The survey also revealed that 26% of organisations reported enforcing secure-by-design practices only when it did not delay deployment — highlighting a tension between productivity and security priorities that is endemic to industrial IoT environments </w:t>
      </w:r>
      <w:r>
        <w:rPr>
          <w:rFonts w:ascii="Arial" w:cs="Arial" w:eastAsia="Arial" w:hAnsi="Arial"/>
          <w:b/>
          <w:bCs/>
          <w:sz w:val="22"/>
          <w:szCs w:val="22"/>
        </w:rPr>
        <w:t xml:space="preserve"> [11]</w:t>
      </w:r>
      <w:r>
        <w:rPr>
          <w:rFonts w:ascii="Arial" w:cs="Arial" w:eastAsia="Arial" w:hAnsi="Arial"/>
          <w:sz w:val="22"/>
          <w:szCs w:val="22"/>
        </w:rPr>
        <w:t xml:space="preserve">.</w:t>
      </w:r>
    </w:p>
    <w:p>
      <w:pPr>
        <w:spacing w:after="120"/>
      </w:pPr>
      <w:r>
        <w:rPr>
          <w:rFonts w:ascii="Arial" w:cs="Arial" w:eastAsia="Arial" w:hAnsi="Arial"/>
          <w:b/>
          <w:bCs/>
          <w:sz w:val="22"/>
          <w:szCs w:val="22"/>
          <w:u w:val="single"/>
        </w:rPr>
        <w:t xml:space="preserve">c)  Workforce Skills Gap</w:t>
      </w:r>
    </w:p>
    <w:p>
      <w:pPr>
        <w:spacing w:after="160" w:line="276"/>
        <w:jc w:val="both"/>
      </w:pPr>
      <w:r>
        <w:rPr>
          <w:rFonts w:ascii="Arial" w:cs="Arial" w:eastAsia="Arial" w:hAnsi="Arial"/>
          <w:sz w:val="22"/>
          <w:szCs w:val="22"/>
        </w:rPr>
        <w:t xml:space="preserve">The digital skills gap is consistently ranked among the top challenges for smart manufacturing adoption. Deloitte projects that </w:t>
      </w:r>
      <w:r>
        <w:rPr>
          <w:rFonts w:ascii="Arial" w:cs="Arial" w:eastAsia="Arial" w:hAnsi="Arial"/>
          <w:b/>
          <w:bCs/>
          <w:sz w:val="22"/>
          <w:szCs w:val="22"/>
        </w:rPr>
        <w:t xml:space="preserve">3.8 million net new employees will be required by 2033</w:t>
      </w:r>
      <w:r>
        <w:rPr>
          <w:rFonts w:ascii="Arial" w:cs="Arial" w:eastAsia="Arial" w:hAnsi="Arial"/>
          <w:sz w:val="22"/>
          <w:szCs w:val="22"/>
        </w:rPr>
        <w:t xml:space="preserve"> to satisfy labour demands in smart manufacturing in the United States alone </w:t>
      </w:r>
      <w:r>
        <w:rPr>
          <w:rFonts w:ascii="Arial" w:cs="Arial" w:eastAsia="Arial" w:hAnsi="Arial"/>
          <w:b/>
          <w:bCs/>
          <w:sz w:val="22"/>
          <w:szCs w:val="22"/>
        </w:rPr>
        <w:t xml:space="preserve"> [11]</w:t>
      </w:r>
      <w:r>
        <w:rPr>
          <w:rFonts w:ascii="Arial" w:cs="Arial" w:eastAsia="Arial" w:hAnsi="Arial"/>
          <w:sz w:val="22"/>
          <w:szCs w:val="22"/>
        </w:rPr>
        <w:t xml:space="preserve">. A 2025 study of 506 Malaysian SMEs applying the Industry4WRD readiness framework found that </w:t>
      </w:r>
      <w:r>
        <w:rPr>
          <w:rFonts w:ascii="Arial" w:cs="Arial" w:eastAsia="Arial" w:hAnsi="Arial"/>
          <w:b/>
          <w:bCs/>
          <w:sz w:val="22"/>
          <w:szCs w:val="22"/>
        </w:rPr>
        <w:t xml:space="preserve">workforce competency scored the lowest dimension (mean: 0.35 out of 4)</w:t>
      </w:r>
      <w:r>
        <w:rPr>
          <w:rFonts w:ascii="Arial" w:cs="Arial" w:eastAsia="Arial" w:hAnsi="Arial"/>
          <w:sz w:val="22"/>
          <w:szCs w:val="22"/>
        </w:rPr>
        <w:t xml:space="preserve"> among all readiness factors, underscoring how human capital remains a critical bottleneck globally </w:t>
      </w:r>
      <w:r>
        <w:rPr>
          <w:rFonts w:ascii="Arial" w:cs="Arial" w:eastAsia="Arial" w:hAnsi="Arial"/>
          <w:b/>
          <w:bCs/>
          <w:sz w:val="22"/>
          <w:szCs w:val="22"/>
        </w:rPr>
        <w:t xml:space="preserve"> [12]</w:t>
      </w:r>
      <w:r>
        <w:rPr>
          <w:rFonts w:ascii="Arial" w:cs="Arial" w:eastAsia="Arial" w:hAnsi="Arial"/>
          <w:sz w:val="22"/>
          <w:szCs w:val="22"/>
        </w:rPr>
        <w:t xml:space="preserve">.</w:t>
      </w:r>
    </w:p>
    <w:p>
      <w:pPr>
        <w:spacing w:after="120"/>
      </w:pPr>
      <w:r>
        <w:rPr>
          <w:rFonts w:ascii="Arial" w:cs="Arial" w:eastAsia="Arial" w:hAnsi="Arial"/>
          <w:b/>
          <w:bCs/>
          <w:sz w:val="22"/>
          <w:szCs w:val="22"/>
          <w:u w:val="single"/>
        </w:rPr>
        <w:t xml:space="preserve">d)  High Initial Capital Expenditure</w:t>
      </w:r>
    </w:p>
    <w:p>
      <w:pPr>
        <w:spacing w:after="160" w:line="276"/>
        <w:jc w:val="both"/>
      </w:pPr>
      <w:r>
        <w:rPr>
          <w:rFonts w:ascii="Arial" w:cs="Arial" w:eastAsia="Arial" w:hAnsi="Arial"/>
          <w:sz w:val="22"/>
          <w:szCs w:val="22"/>
        </w:rPr>
        <w:t xml:space="preserve">The financial cost of deploying Industry 4.0 infrastructure — sensors, edge computing hardware, cloud subscriptions, and integration software — constitutes a significant barrier, particularly for small and medium enterprises (SMEs). The global smart factory market was valued at USD 141.5 billion in 2024, with a CAGR of 9.4% through 2034, yet market intelligence consistently identifies high initial capital expenditure and integration complexity as key restraining factors [13]. This economic constraint directly motivates the present work's emphasis on low-cost, open-source sensor and software architectures.</w:t>
      </w:r>
    </w:p>
    <w:p>
      <w:pPr>
        <w:spacing w:after="120"/>
      </w:pPr>
      <w:r>
        <w:rPr>
          <w:rFonts w:ascii="Arial" w:cs="Arial" w:eastAsia="Arial" w:hAnsi="Arial"/>
          <w:b/>
          <w:bCs/>
          <w:sz w:val="22"/>
          <w:szCs w:val="22"/>
          <w:u w:val="single"/>
        </w:rPr>
        <w:t xml:space="preserve">e)  Unplanned Downtime and Maintenance Costs</w:t>
      </w:r>
    </w:p>
    <w:p>
      <w:pPr>
        <w:spacing w:after="160" w:line="276"/>
        <w:jc w:val="both"/>
      </w:pPr>
      <w:r>
        <w:rPr>
          <w:rFonts w:ascii="Arial" w:cs="Arial" w:eastAsia="Arial" w:hAnsi="Arial"/>
          <w:sz w:val="22"/>
          <w:szCs w:val="22"/>
        </w:rPr>
        <w:t xml:space="preserve">Unplanned downtime remains one of the most costly operational challenges in industrial systems. Fluke Corporation estimates losses reaching </w:t>
      </w:r>
      <w:r>
        <w:rPr>
          <w:rFonts w:ascii="Arial" w:cs="Arial" w:eastAsia="Arial" w:hAnsi="Arial"/>
          <w:b/>
          <w:bCs/>
          <w:sz w:val="22"/>
          <w:szCs w:val="22"/>
        </w:rPr>
        <w:t xml:space="preserve">millions of dollars per hour</w:t>
      </w:r>
      <w:r>
        <w:rPr>
          <w:rFonts w:ascii="Arial" w:cs="Arial" w:eastAsia="Arial" w:hAnsi="Arial"/>
          <w:sz w:val="22"/>
          <w:szCs w:val="22"/>
        </w:rPr>
        <w:t xml:space="preserve"> in high-value manufacturing environments </w:t>
      </w:r>
      <w:r>
        <w:rPr>
          <w:rFonts w:ascii="Arial" w:cs="Arial" w:eastAsia="Arial" w:hAnsi="Arial"/>
          <w:b/>
          <w:bCs/>
          <w:sz w:val="22"/>
          <w:szCs w:val="22"/>
        </w:rPr>
        <w:t xml:space="preserve"> [14]</w:t>
      </w:r>
      <w:r>
        <w:rPr>
          <w:rFonts w:ascii="Arial" w:cs="Arial" w:eastAsia="Arial" w:hAnsi="Arial"/>
          <w:sz w:val="22"/>
          <w:szCs w:val="22"/>
        </w:rPr>
        <w:t xml:space="preserve">. In additive manufacturing specifically, print failure rates can range from 20% under controlled conditions to more than 30% in less optimised environments, directly translating into material waste and reduced machine availability </w:t>
      </w:r>
      <w:r>
        <w:rPr>
          <w:rFonts w:ascii="Arial" w:cs="Arial" w:eastAsia="Arial" w:hAnsi="Arial"/>
          <w:b/>
          <w:bCs/>
          <w:sz w:val="22"/>
          <w:szCs w:val="22"/>
        </w:rPr>
        <w:t xml:space="preserve"> [15]</w:t>
      </w:r>
      <w:r>
        <w:rPr>
          <w:rFonts w:ascii="Arial" w:cs="Arial" w:eastAsia="Arial" w:hAnsi="Arial"/>
          <w:sz w:val="22"/>
          <w:szCs w:val="22"/>
        </w:rPr>
        <w:t xml:space="preserve">. These figures motivate the shift from reactive to predictive maintenance strategies — the central focus of this thesis.</w:t>
      </w:r>
    </w:p>
    <w:p>
      <w:pPr>
        <w:pStyle w:val="Heading3"/>
        <w:spacing w:after="120" w:before="200"/>
      </w:pPr>
      <w:r>
        <w:rPr>
          <w:rFonts w:ascii="Arial" w:cs="Arial" w:eastAsia="Arial" w:hAnsi="Arial"/>
          <w:b/>
          <w:bCs/>
          <w:sz w:val="24"/>
          <w:szCs w:val="24"/>
        </w:rPr>
        <w:t xml:space="preserve">1.2.3  Current Trends</w:t>
      </w:r>
    </w:p>
    <w:p>
      <w:pPr>
        <w:spacing w:after="160" w:line="276"/>
        <w:jc w:val="both"/>
      </w:pPr>
      <w:r>
        <w:rPr>
          <w:rFonts w:ascii="Arial" w:cs="Arial" w:eastAsia="Arial" w:hAnsi="Arial"/>
          <w:sz w:val="22"/>
          <w:szCs w:val="22"/>
        </w:rPr>
        <w:t xml:space="preserve">The Industry 4.0 landscape is undergoing rapid evolution. Several converging trends are reshaping how manufacturers approach production, maintenance, and quality assurance, with direct implications for the domain of intelligent additive manufacturing.</w:t>
      </w:r>
    </w:p>
    <w:p>
      <w:pPr>
        <w:spacing w:after="120"/>
      </w:pPr>
      <w:r>
        <w:rPr>
          <w:rFonts w:ascii="Arial" w:cs="Arial" w:eastAsia="Arial" w:hAnsi="Arial"/>
          <w:b/>
          <w:bCs/>
          <w:sz w:val="22"/>
          <w:szCs w:val="22"/>
          <w:u w:val="single"/>
        </w:rPr>
        <w:t xml:space="preserve">Trend 1 — AI and Machine Learning Integration</w:t>
      </w:r>
    </w:p>
    <w:p>
      <w:pPr>
        <w:spacing w:after="160" w:line="276"/>
        <w:jc w:val="both"/>
      </w:pPr>
      <w:r>
        <w:rPr>
          <w:rFonts w:ascii="Arial" w:cs="Arial" w:eastAsia="Arial" w:hAnsi="Arial"/>
          <w:sz w:val="22"/>
          <w:szCs w:val="22"/>
        </w:rPr>
        <w:t xml:space="preserve">Artificial intelligence is transitioning from a theoretical enabler to a practical operational tool on production floors. The global AI branch in the manufacturing market was estimated at </w:t>
      </w:r>
      <w:r>
        <w:rPr>
          <w:rFonts w:ascii="Arial" w:cs="Arial" w:eastAsia="Arial" w:hAnsi="Arial"/>
          <w:b/>
          <w:bCs/>
          <w:sz w:val="22"/>
          <w:szCs w:val="22"/>
        </w:rPr>
        <w:t xml:space="preserve">USD 34.18 billion in 2025</w:t>
      </w:r>
      <w:r>
        <w:rPr>
          <w:rFonts w:ascii="Arial" w:cs="Arial" w:eastAsia="Arial" w:hAnsi="Arial"/>
          <w:sz w:val="22"/>
          <w:szCs w:val="22"/>
        </w:rPr>
        <w:t xml:space="preserve"> and is projected to reach USD 155.04 billion by 2030, driven by a CAGR of 35.3% </w:t>
      </w:r>
      <w:r>
        <w:rPr>
          <w:rFonts w:ascii="Arial" w:cs="Arial" w:eastAsia="Arial" w:hAnsi="Arial"/>
          <w:b/>
          <w:bCs/>
          <w:sz w:val="22"/>
          <w:szCs w:val="22"/>
        </w:rPr>
        <w:t xml:space="preserve"> [16]</w:t>
      </w:r>
      <w:r>
        <w:rPr>
          <w:rFonts w:ascii="Arial" w:cs="Arial" w:eastAsia="Arial" w:hAnsi="Arial"/>
          <w:sz w:val="22"/>
          <w:szCs w:val="22"/>
        </w:rPr>
        <w:t xml:space="preserve">. Key applications include predictive maintenance, computer vision-based quality control, and AI-driven process optimisation. Research indicates that AI can lower manufacturing maintenance costs by 25–40%, and that 78% of production facilities utilising AI reported measurable waste reduction </w:t>
      </w:r>
      <w:r>
        <w:rPr>
          <w:rFonts w:ascii="Arial" w:cs="Arial" w:eastAsia="Arial" w:hAnsi="Arial"/>
          <w:b/>
          <w:bCs/>
          <w:sz w:val="22"/>
          <w:szCs w:val="22"/>
        </w:rPr>
        <w:t xml:space="preserve"> [16]</w:t>
      </w:r>
      <w:r>
        <w:rPr>
          <w:rFonts w:ascii="Arial" w:cs="Arial" w:eastAsia="Arial" w:hAnsi="Arial"/>
          <w:sz w:val="22"/>
          <w:szCs w:val="22"/>
        </w:rPr>
        <w:t xml:space="preserve">. Within Industry 4.0, agentic AI — systems capable of autonomous decision-making and self-correction — has emerged as a leading trend for 2025–2026 </w:t>
      </w:r>
      <w:r>
        <w:rPr>
          <w:rFonts w:ascii="Arial" w:cs="Arial" w:eastAsia="Arial" w:hAnsi="Arial"/>
          <w:b/>
          <w:bCs/>
          <w:sz w:val="22"/>
          <w:szCs w:val="22"/>
        </w:rPr>
        <w:t xml:space="preserve"> [17]</w:t>
      </w:r>
      <w:r>
        <w:rPr>
          <w:rFonts w:ascii="Arial" w:cs="Arial" w:eastAsia="Arial" w:hAnsi="Arial"/>
          <w:sz w:val="22"/>
          <w:szCs w:val="22"/>
        </w:rPr>
        <w:t xml:space="preserve">.</w:t>
      </w:r>
    </w:p>
    <w:p>
      <w:pPr>
        <w:spacing w:after="120"/>
      </w:pPr>
      <w:r>
        <w:rPr>
          <w:rFonts w:ascii="Arial" w:cs="Arial" w:eastAsia="Arial" w:hAnsi="Arial"/>
          <w:b/>
          <w:bCs/>
          <w:sz w:val="22"/>
          <w:szCs w:val="22"/>
          <w:u w:val="single"/>
        </w:rPr>
        <w:t xml:space="preserve">Trend 2 — Digital Twin Technology</w:t>
      </w:r>
    </w:p>
    <w:p>
      <w:pPr>
        <w:spacing w:after="160" w:line="276"/>
        <w:jc w:val="both"/>
      </w:pPr>
      <w:r>
        <w:rPr>
          <w:rFonts w:ascii="Arial" w:cs="Arial" w:eastAsia="Arial" w:hAnsi="Arial"/>
          <w:sz w:val="22"/>
          <w:szCs w:val="22"/>
        </w:rPr>
        <w:t xml:space="preserve">Digital twins — virtual representations of physical assets that are continuously synchronised with real-time sensor data — have become a central pillar of smart manufacturing strategy. Industry analysts describe digital twins as becoming </w:t>
      </w:r>
      <w:r>
        <w:rPr>
          <w:rFonts w:ascii="Arial" w:cs="Arial" w:eastAsia="Arial" w:hAnsi="Arial"/>
          <w:i/>
          <w:iCs/>
          <w:sz w:val="22"/>
          <w:szCs w:val="22"/>
        </w:rPr>
        <w:t xml:space="preserve">essential tools for proactive maintenance and strategic planning</w:t>
      </w:r>
      <w:r>
        <w:rPr>
          <w:rFonts w:ascii="Arial" w:cs="Arial" w:eastAsia="Arial" w:hAnsi="Arial"/>
          <w:sz w:val="22"/>
          <w:szCs w:val="22"/>
        </w:rPr>
        <w:t xml:space="preserve"> </w:t>
      </w:r>
      <w:r>
        <w:rPr>
          <w:rFonts w:ascii="Arial" w:cs="Arial" w:eastAsia="Arial" w:hAnsi="Arial"/>
          <w:b/>
          <w:bCs/>
          <w:sz w:val="22"/>
          <w:szCs w:val="22"/>
        </w:rPr>
        <w:t xml:space="preserve"> [18]</w:t>
      </w:r>
      <w:r>
        <w:rPr>
          <w:rFonts w:ascii="Arial" w:cs="Arial" w:eastAsia="Arial" w:hAnsi="Arial"/>
          <w:sz w:val="22"/>
          <w:szCs w:val="22"/>
        </w:rPr>
        <w:t xml:space="preserve">. This includes use cases ranging from single-machine health monitoring (as addressed in this thesis) to fleet-level and supply chain management. The convergence of cheaper sensors, edge computing, and cloud platforms is lowering the barrier to digital twin adoption, particularly for SMEs </w:t>
      </w:r>
      <w:r>
        <w:rPr>
          <w:rFonts w:ascii="Arial" w:cs="Arial" w:eastAsia="Arial" w:hAnsi="Arial"/>
          <w:b/>
          <w:bCs/>
          <w:sz w:val="22"/>
          <w:szCs w:val="22"/>
        </w:rPr>
        <w:t xml:space="preserve"> [19]</w:t>
      </w:r>
      <w:r>
        <w:rPr>
          <w:rFonts w:ascii="Arial" w:cs="Arial" w:eastAsia="Arial" w:hAnsi="Arial"/>
          <w:sz w:val="22"/>
          <w:szCs w:val="22"/>
        </w:rPr>
        <w:t xml:space="preserve">.</w:t>
      </w:r>
    </w:p>
    <w:p>
      <w:pPr>
        <w:spacing w:after="120"/>
      </w:pPr>
      <w:r>
        <w:rPr>
          <w:rFonts w:ascii="Arial" w:cs="Arial" w:eastAsia="Arial" w:hAnsi="Arial"/>
          <w:b/>
          <w:bCs/>
          <w:sz w:val="22"/>
          <w:szCs w:val="22"/>
          <w:u w:val="single"/>
        </w:rPr>
        <w:t xml:space="preserve">Trend 3 — Edge Computing and 5G Connectivity</w:t>
      </w:r>
    </w:p>
    <w:p>
      <w:pPr>
        <w:spacing w:after="160" w:line="276"/>
        <w:jc w:val="both"/>
      </w:pPr>
      <w:r>
        <w:rPr>
          <w:rFonts w:ascii="Arial" w:cs="Arial" w:eastAsia="Arial" w:hAnsi="Arial"/>
          <w:sz w:val="22"/>
          <w:szCs w:val="22"/>
        </w:rPr>
        <w:t xml:space="preserve">Data is increasingly processed at the network edge — close to where it is generated — reducing latency and enabling faster real-time decision-making without constant cloud dependence </w:t>
      </w:r>
      <w:r>
        <w:rPr>
          <w:rFonts w:ascii="Arial" w:cs="Arial" w:eastAsia="Arial" w:hAnsi="Arial"/>
          <w:b/>
          <w:bCs/>
          <w:sz w:val="22"/>
          <w:szCs w:val="22"/>
        </w:rPr>
        <w:t xml:space="preserve"> [18]</w:t>
      </w:r>
      <w:r>
        <w:rPr>
          <w:rFonts w:ascii="Arial" w:cs="Arial" w:eastAsia="Arial" w:hAnsi="Arial"/>
          <w:sz w:val="22"/>
          <w:szCs w:val="22"/>
        </w:rPr>
        <w:t xml:space="preserve">. The adoption of 5G networks enables ultra-low-latency connectivity between sensors, edge devices, and control systems, supporting advanced applications such as real-time vibration analysis and adaptive process control. This edge-centric architecture is adopted in the present work, with an ESP32 microcontroller handling local signal conditioning and a Raspberry Pi 4 serving as the edge gateway.</w:t>
      </w:r>
    </w:p>
    <w:p>
      <w:pPr>
        <w:spacing w:after="120"/>
      </w:pPr>
      <w:r>
        <w:rPr>
          <w:rFonts w:ascii="Arial" w:cs="Arial" w:eastAsia="Arial" w:hAnsi="Arial"/>
          <w:b/>
          <w:bCs/>
          <w:sz w:val="22"/>
          <w:szCs w:val="22"/>
          <w:u w:val="single"/>
        </w:rPr>
        <w:t xml:space="preserve">Trend 4 — Smart Additive Manufacturing</w:t>
      </w:r>
    </w:p>
    <w:p>
      <w:pPr>
        <w:spacing w:after="160" w:line="276"/>
        <w:jc w:val="both"/>
      </w:pPr>
      <w:r>
        <w:rPr>
          <w:rFonts w:ascii="Arial" w:cs="Arial" w:eastAsia="Arial" w:hAnsi="Arial"/>
          <w:sz w:val="22"/>
          <w:szCs w:val="22"/>
        </w:rPr>
        <w:t xml:space="preserve">Additive manufacturing is being progressively integrated into Industry 4.0 frameworks through AI-driven design optimisation, digital twins, cloud-based manufacturing platforms, and smart factory systems </w:t>
      </w:r>
      <w:r>
        <w:rPr>
          <w:rFonts w:ascii="Arial" w:cs="Arial" w:eastAsia="Arial" w:hAnsi="Arial"/>
          <w:b/>
          <w:bCs/>
          <w:sz w:val="22"/>
          <w:szCs w:val="22"/>
        </w:rPr>
        <w:t xml:space="preserve"> [20]</w:t>
      </w:r>
      <w:r>
        <w:rPr>
          <w:rFonts w:ascii="Arial" w:cs="Arial" w:eastAsia="Arial" w:hAnsi="Arial"/>
          <w:sz w:val="22"/>
          <w:szCs w:val="22"/>
        </w:rPr>
        <w:t xml:space="preserve">. This integration improves scalability, repeatability, and quality assurance, elevating AM from a prototyping technology to a viable end-use production method. Notably, </w:t>
      </w:r>
      <w:r>
        <w:rPr>
          <w:rFonts w:ascii="Arial" w:cs="Arial" w:eastAsia="Arial" w:hAnsi="Arial"/>
          <w:b/>
          <w:bCs/>
          <w:sz w:val="22"/>
          <w:szCs w:val="22"/>
        </w:rPr>
        <w:t xml:space="preserve">nearly 60% of AM adopters report plans to integrate real-time process monitoring systems, predictive failure analytics, and in-situ quality validation in 2025–2026</w:t>
      </w:r>
      <w:r>
        <w:rPr>
          <w:rFonts w:ascii="Arial" w:cs="Arial" w:eastAsia="Arial" w:hAnsi="Arial"/>
          <w:sz w:val="22"/>
          <w:szCs w:val="22"/>
        </w:rPr>
        <w:t xml:space="preserve"> </w:t>
      </w:r>
      <w:r>
        <w:rPr>
          <w:rFonts w:ascii="Arial" w:cs="Arial" w:eastAsia="Arial" w:hAnsi="Arial"/>
          <w:b/>
          <w:bCs/>
          <w:sz w:val="22"/>
          <w:szCs w:val="22"/>
        </w:rPr>
        <w:t xml:space="preserve"> [21]</w:t>
      </w:r>
      <w:r>
        <w:rPr>
          <w:rFonts w:ascii="Arial" w:cs="Arial" w:eastAsia="Arial" w:hAnsi="Arial"/>
          <w:sz w:val="22"/>
          <w:szCs w:val="22"/>
        </w:rPr>
        <w:t xml:space="preserve"> — a trend that directly positions the present work within the leading edge of applied research.</w:t>
      </w:r>
    </w:p>
    <w:p>
      <w:pPr>
        <w:spacing w:after="120"/>
      </w:pPr>
      <w:r>
        <w:rPr>
          <w:rFonts w:ascii="Arial" w:cs="Arial" w:eastAsia="Arial" w:hAnsi="Arial"/>
          <w:b/>
          <w:bCs/>
          <w:sz w:val="22"/>
          <w:szCs w:val="22"/>
          <w:u w:val="single"/>
        </w:rPr>
        <w:t xml:space="preserve">Trend 5 — Predictive Maintenance and Condition-Based Monitoring</w:t>
      </w:r>
    </w:p>
    <w:p>
      <w:pPr>
        <w:spacing w:after="160" w:line="276"/>
        <w:jc w:val="both"/>
      </w:pPr>
      <w:r>
        <w:rPr>
          <w:rFonts w:ascii="Arial" w:cs="Arial" w:eastAsia="Arial" w:hAnsi="Arial"/>
          <w:sz w:val="22"/>
          <w:szCs w:val="22"/>
        </w:rPr>
        <w:t xml:space="preserve">Predictive maintenance (PdM) powered by sensor data, anomaly detection algorithms, and digital twin models has become one of the highest-value use cases of Industry 4.0. Studies indicate that PdM can reduce downtime by more than 50% and lower maintenance expenditures by 25–30% compared to reactive strategies </w:t>
      </w:r>
      <w:r>
        <w:rPr>
          <w:rFonts w:ascii="Arial" w:cs="Arial" w:eastAsia="Arial" w:hAnsi="Arial"/>
          <w:b/>
          <w:bCs/>
          <w:sz w:val="22"/>
          <w:szCs w:val="22"/>
        </w:rPr>
        <w:t xml:space="preserve"> [22]</w:t>
      </w:r>
      <w:r>
        <w:rPr>
          <w:rFonts w:ascii="Arial" w:cs="Arial" w:eastAsia="Arial" w:hAnsi="Arial"/>
          <w:sz w:val="22"/>
          <w:szCs w:val="22"/>
        </w:rPr>
        <w:t xml:space="preserve">. This shift is enabled by increasingly affordable IoT sensor infrastructure — with prices now as low as USD 0.10–0.80 per unit </w:t>
      </w:r>
      <w:r>
        <w:rPr>
          <w:rFonts w:ascii="Arial" w:cs="Arial" w:eastAsia="Arial" w:hAnsi="Arial"/>
          <w:b/>
          <w:bCs/>
          <w:sz w:val="22"/>
          <w:szCs w:val="22"/>
        </w:rPr>
        <w:t xml:space="preserve"> [16]</w:t>
      </w:r>
      <w:r>
        <w:rPr>
          <w:rFonts w:ascii="Arial" w:cs="Arial" w:eastAsia="Arial" w:hAnsi="Arial"/>
          <w:sz w:val="22"/>
          <w:szCs w:val="22"/>
        </w:rPr>
        <w:t xml:space="preserve"> — making high-density instrumentation economically viable even in small-scale settings. The present thesis directly addresses this trend by implementing a PdM-capable digital twin for an FDM 3D printer using a low-cost sensor suite.</w:t>
      </w:r>
    </w:p>
    <w:p>
      <w:pPr>
        <w:pBdr>
          <w:bottom w:val="single" w:color="2E75B6" w:sz="6" w:space="1"/>
        </w:pBdr>
        <w:spacing w:after="200" w:before="200"/>
      </w:pPr>
    </w:p>
    <w:p>
      <w:pPr>
        <w:pStyle w:val="Heading2"/>
        <w:spacing w:after="160" w:before="280"/>
      </w:pPr>
      <w:r>
        <w:rPr>
          <w:rFonts w:ascii="Arial" w:cs="Arial" w:eastAsia="Arial" w:hAnsi="Arial"/>
          <w:b/>
          <w:bCs/>
          <w:sz w:val="26"/>
          <w:szCs w:val="26"/>
        </w:rPr>
        <w:t xml:space="preserve">References for Section 1.2</w:t>
      </w:r>
    </w:p>
    <w:p>
      <w:pPr>
        <w:spacing w:after="160" w:line="276"/>
        <w:jc w:val="both"/>
      </w:pPr>
      <w:r>
        <w:rPr>
          <w:rFonts w:ascii="Arial" w:cs="Arial" w:eastAsia="Arial" w:hAnsi="Arial"/>
          <w:i/>
          <w:iCs/>
          <w:sz w:val="22"/>
          <w:szCs w:val="22"/>
        </w:rPr>
        <w:t xml:space="preserve">The following references were used for Section 1.2 (Industry 4.0 and Additive Manufacturing). Full bibliographic details are provided below, including citation type (Journal Article, Industry Report, Book, or Online Resource) and DOI/URL where available, to enable independent verification.</w:t>
      </w:r>
    </w:p>
    <w:p>
      <w:pPr>
        <w:spacing w:after="80"/>
      </w:pPr>
    </w:p>
    <w:p>
      <w:pPr>
        <w:spacing w:after="120"/>
        <w:ind w:left="720" w:hanging="360"/>
      </w:pPr>
      <w:r>
        <w:rPr>
          <w:rFonts w:ascii="Arial" w:cs="Arial" w:eastAsia="Arial" w:hAnsi="Arial"/>
          <w:b/>
          <w:bCs/>
          <w:sz w:val="20"/>
          <w:szCs w:val="20"/>
        </w:rPr>
        <w:t xml:space="preserve">[1] </w:t>
      </w:r>
      <w:r>
        <w:rPr>
          <w:rFonts w:ascii="Arial" w:cs="Arial" w:eastAsia="Arial" w:hAnsi="Arial"/>
          <w:sz w:val="20"/>
          <w:szCs w:val="20"/>
        </w:rPr>
        <w:t xml:space="preserve">Kagermann, H., Wahlster, W., &amp; Helbig, J. (2013). Recommendations for implementing the strategic initiative Industrie 4.0: Final report of the Industrie 4.0 Working Group. Acatech – National Academy of Science and Engineering, Frankfurt. [Industry Report]</w:t>
      </w:r>
    </w:p>
    <w:p>
      <w:pPr>
        <w:spacing w:after="120"/>
        <w:ind w:left="720" w:hanging="360"/>
      </w:pPr>
      <w:r>
        <w:rPr>
          <w:rFonts w:ascii="Arial" w:cs="Arial" w:eastAsia="Arial" w:hAnsi="Arial"/>
          <w:b/>
          <w:bCs/>
          <w:sz w:val="20"/>
          <w:szCs w:val="20"/>
        </w:rPr>
        <w:t xml:space="preserve">[2] </w:t>
      </w:r>
      <w:r>
        <w:rPr>
          <w:rFonts w:ascii="Arial" w:cs="Arial" w:eastAsia="Arial" w:hAnsi="Arial"/>
          <w:sz w:val="20"/>
          <w:szCs w:val="20"/>
        </w:rPr>
        <w:t xml:space="preserve">Lu, Y. (2017). Industry 4.0: A survey on technologies, applications and open research issues. Journal of Industrial Information Integration, 6, 1–10. https://doi.org/10.1016/j.jii.2017.04.005 [Journal Article — Scopus Q1]</w:t>
      </w:r>
    </w:p>
    <w:p>
      <w:pPr>
        <w:spacing w:after="120"/>
        <w:ind w:left="720" w:hanging="360"/>
      </w:pPr>
      <w:r>
        <w:rPr>
          <w:rFonts w:ascii="Arial" w:cs="Arial" w:eastAsia="Arial" w:hAnsi="Arial"/>
          <w:b/>
          <w:bCs/>
          <w:sz w:val="20"/>
          <w:szCs w:val="20"/>
        </w:rPr>
        <w:t xml:space="preserve">[3] </w:t>
      </w:r>
      <w:r>
        <w:rPr>
          <w:rFonts w:ascii="Arial" w:cs="Arial" w:eastAsia="Arial" w:hAnsi="Arial"/>
          <w:sz w:val="20"/>
          <w:szCs w:val="20"/>
        </w:rPr>
        <w:t xml:space="preserve">International Society of Automation (ISA). Digital Transformation and Industry 4.0. Retrieved May 2026 from https://www.isa.org/digital-transformation-and-industry-4-0 [Online Resource]</w:t>
      </w:r>
    </w:p>
    <w:p>
      <w:pPr>
        <w:spacing w:after="120"/>
        <w:ind w:left="720" w:hanging="360"/>
      </w:pPr>
      <w:r>
        <w:rPr>
          <w:rFonts w:ascii="Arial" w:cs="Arial" w:eastAsia="Arial" w:hAnsi="Arial"/>
          <w:b/>
          <w:bCs/>
          <w:sz w:val="20"/>
          <w:szCs w:val="20"/>
        </w:rPr>
        <w:t xml:space="preserve">[4] </w:t>
      </w:r>
      <w:r>
        <w:rPr>
          <w:rFonts w:ascii="Arial" w:cs="Arial" w:eastAsia="Arial" w:hAnsi="Arial"/>
          <w:sz w:val="20"/>
          <w:szCs w:val="20"/>
        </w:rPr>
        <w:t xml:space="preserve">SAP. What is Industry 4.0? Retrieved May 2026 from https://www.sap.com/resources/what-is-industry-4-0 [Online Resource — Technical Reference]</w:t>
      </w:r>
    </w:p>
    <w:p>
      <w:pPr>
        <w:spacing w:after="120"/>
        <w:ind w:left="720" w:hanging="360"/>
      </w:pPr>
      <w:r>
        <w:rPr>
          <w:rFonts w:ascii="Arial" w:cs="Arial" w:eastAsia="Arial" w:hAnsi="Arial"/>
          <w:b/>
          <w:bCs/>
          <w:sz w:val="20"/>
          <w:szCs w:val="20"/>
        </w:rPr>
        <w:t xml:space="preserve">[5] </w:t>
      </w:r>
      <w:r>
        <w:rPr>
          <w:rFonts w:ascii="Arial" w:cs="Arial" w:eastAsia="Arial" w:hAnsi="Arial"/>
          <w:sz w:val="20"/>
          <w:szCs w:val="20"/>
        </w:rPr>
        <w:t xml:space="preserve">Schwab, K. (2016). The Fourth Industrial Revolution. World Economic Forum / Crown Business, New York. ISBN: 978-1-524-75858-2 [Book]</w:t>
      </w:r>
    </w:p>
    <w:p>
      <w:pPr>
        <w:spacing w:after="120"/>
        <w:ind w:left="720" w:hanging="360"/>
      </w:pPr>
      <w:r>
        <w:rPr>
          <w:rFonts w:ascii="Arial" w:cs="Arial" w:eastAsia="Arial" w:hAnsi="Arial"/>
          <w:b/>
          <w:bCs/>
          <w:sz w:val="20"/>
          <w:szCs w:val="20"/>
        </w:rPr>
        <w:t xml:space="preserve">[6] </w:t>
      </w:r>
      <w:r>
        <w:rPr>
          <w:rFonts w:ascii="Arial" w:cs="Arial" w:eastAsia="Arial" w:hAnsi="Arial"/>
          <w:sz w:val="20"/>
          <w:szCs w:val="20"/>
        </w:rPr>
        <w:t xml:space="preserve">IBM. What is Industry 4.0? IBM Think Topics. Retrieved May 2026 from https://www.ibm.com/think/topics/industry-4-0 [Online Resource — Technical Reference]</w:t>
      </w:r>
    </w:p>
    <w:p>
      <w:pPr>
        <w:spacing w:after="120"/>
        <w:ind w:left="720" w:hanging="360"/>
      </w:pPr>
      <w:r>
        <w:rPr>
          <w:rFonts w:ascii="Arial" w:cs="Arial" w:eastAsia="Arial" w:hAnsi="Arial"/>
          <w:b/>
          <w:bCs/>
          <w:sz w:val="20"/>
          <w:szCs w:val="20"/>
        </w:rPr>
        <w:t xml:space="preserve">[7] </w:t>
      </w:r>
      <w:r>
        <w:rPr>
          <w:rFonts w:ascii="Arial" w:cs="Arial" w:eastAsia="Arial" w:hAnsi="Arial"/>
          <w:sz w:val="20"/>
          <w:szCs w:val="20"/>
        </w:rPr>
        <w:t xml:space="preserve">Grand View Research. (2026). Additive Manufacturing Market Size, Share &amp; Trends Analysis Report. Retrieved May 2026 from https://www.grandviewresearch.com/industry-analysis/additive-manufacturing-market [Market Report]</w:t>
      </w:r>
    </w:p>
    <w:p>
      <w:pPr>
        <w:spacing w:after="120"/>
        <w:ind w:left="720" w:hanging="360"/>
      </w:pPr>
      <w:r>
        <w:rPr>
          <w:rFonts w:ascii="Arial" w:cs="Arial" w:eastAsia="Arial" w:hAnsi="Arial"/>
          <w:b/>
          <w:bCs/>
          <w:sz w:val="20"/>
          <w:szCs w:val="20"/>
        </w:rPr>
        <w:t xml:space="preserve">[8] </w:t>
      </w:r>
      <w:r>
        <w:rPr>
          <w:rFonts w:ascii="Arial" w:cs="Arial" w:eastAsia="Arial" w:hAnsi="Arial"/>
          <w:sz w:val="20"/>
          <w:szCs w:val="20"/>
        </w:rPr>
        <w:t xml:space="preserve">Grand View Research. (2026). Additive Manufacturing Market. Retrieved May 2026 from https://www.grandviewresearch.com/industry-analysis/additive-manufacturing-market [Market Report]. See also: Knowledge Sourcing Intelligence. Additive Manufacturing Market: Size, Trends, Forecast 2025–2030. https://www.knowledge-sourcing.com/report/additive-manufacturing-market</w:t>
      </w:r>
    </w:p>
    <w:p>
      <w:pPr>
        <w:spacing w:after="120"/>
        <w:ind w:left="720" w:hanging="360"/>
      </w:pPr>
      <w:r>
        <w:rPr>
          <w:rFonts w:ascii="Arial" w:cs="Arial" w:eastAsia="Arial" w:hAnsi="Arial"/>
          <w:b/>
          <w:bCs/>
          <w:sz w:val="20"/>
          <w:szCs w:val="20"/>
        </w:rPr>
        <w:t xml:space="preserve">[9] </w:t>
      </w:r>
      <w:r>
        <w:rPr>
          <w:rFonts w:ascii="Arial" w:cs="Arial" w:eastAsia="Arial" w:hAnsi="Arial"/>
          <w:sz w:val="20"/>
          <w:szCs w:val="20"/>
        </w:rPr>
        <w:t xml:space="preserve">Winter, J. (2025, February). 2024 Industry 4.0 Benchmarking Data. Jeff Winter Insights, citing Acatech / Onward Partners data. Retrieved from https://www.jeffwinterinsights.com/insights/2024-industry-40-bencharking-data-acatech-onward-partners [Industry Analysis]</w:t>
      </w:r>
    </w:p>
    <w:p>
      <w:pPr>
        <w:spacing w:after="120"/>
        <w:ind w:left="720" w:hanging="360"/>
      </w:pPr>
      <w:r>
        <w:rPr>
          <w:rFonts w:ascii="Arial" w:cs="Arial" w:eastAsia="Arial" w:hAnsi="Arial"/>
          <w:b/>
          <w:bCs/>
          <w:sz w:val="20"/>
          <w:szCs w:val="20"/>
        </w:rPr>
        <w:t xml:space="preserve">[10] </w:t>
      </w:r>
      <w:r>
        <w:rPr>
          <w:rFonts w:ascii="Arial" w:cs="Arial" w:eastAsia="Arial" w:hAnsi="Arial"/>
          <w:sz w:val="20"/>
          <w:szCs w:val="20"/>
        </w:rPr>
        <w:t xml:space="preserve">Zielstorff, A., Schöttke, D., Hohenhövel, A., Kämpfe, T., Schäfer, S., &amp; Schnicke, F. (2023). Harmonizing Heterogeneity: A Novel Architecture for Legacy System Integration with Digital Twins in Industry 4.0. In: Terzi, S., et al. (Eds.), IN4PL 2023, Communications in Computer and Information Science, Vol. 1886. Springer, Cham. https://doi.org/10.1007/978-3-031-49339-3_5 [Conference Paper — Springer]</w:t>
      </w:r>
    </w:p>
    <w:p>
      <w:pPr>
        <w:spacing w:after="120"/>
        <w:ind w:left="720" w:hanging="360"/>
      </w:pPr>
      <w:r>
        <w:rPr>
          <w:rFonts w:ascii="Arial" w:cs="Arial" w:eastAsia="Arial" w:hAnsi="Arial"/>
          <w:b/>
          <w:bCs/>
          <w:sz w:val="20"/>
          <w:szCs w:val="20"/>
        </w:rPr>
        <w:t xml:space="preserve">[11] </w:t>
      </w:r>
      <w:r>
        <w:rPr>
          <w:rFonts w:ascii="Arial" w:cs="Arial" w:eastAsia="Arial" w:hAnsi="Arial"/>
          <w:sz w:val="20"/>
          <w:szCs w:val="20"/>
        </w:rPr>
        <w:t xml:space="preserve">Deloitte. (2025). 2025 Smart Manufacturing and Operations Survey: Navigating challenges to implementation. Deloitte Development LLC. Retrieved May 2026 from https://www.deloitte.com/us/en/insights/industry/manufacturing/2025-smart-manufacturing-survey.html [Industry Survey — 600 executives, Aug–Sep 2024]</w:t>
      </w:r>
    </w:p>
    <w:p>
      <w:pPr>
        <w:spacing w:after="120"/>
        <w:ind w:left="720" w:hanging="360"/>
      </w:pPr>
      <w:r>
        <w:rPr>
          <w:rFonts w:ascii="Arial" w:cs="Arial" w:eastAsia="Arial" w:hAnsi="Arial"/>
          <w:b/>
          <w:bCs/>
          <w:sz w:val="20"/>
          <w:szCs w:val="20"/>
        </w:rPr>
        <w:t xml:space="preserve">[12] </w:t>
      </w:r>
      <w:r>
        <w:rPr>
          <w:rFonts w:ascii="Arial" w:cs="Arial" w:eastAsia="Arial" w:hAnsi="Arial"/>
          <w:sz w:val="20"/>
          <w:szCs w:val="20"/>
        </w:rPr>
        <w:t xml:space="preserve">Techanamurthy, U., Iqbal, M.S., Abdul Rahim, Z., et al. (2025). Industry 4.0 readiness and strategic plan failures in SMEs: A comprehensive analysis. PLOS ONE, DOI: 10.1371/journal.pone.0324052. Published 20 May 2025. [Journal Article — Open Access, PubMed Central]</w:t>
      </w:r>
    </w:p>
    <w:p>
      <w:pPr>
        <w:spacing w:after="120"/>
        <w:ind w:left="720" w:hanging="360"/>
      </w:pPr>
      <w:r>
        <w:rPr>
          <w:rFonts w:ascii="Arial" w:cs="Arial" w:eastAsia="Arial" w:hAnsi="Arial"/>
          <w:b/>
          <w:bCs/>
          <w:sz w:val="20"/>
          <w:szCs w:val="20"/>
        </w:rPr>
        <w:t xml:space="preserve">[13] </w:t>
      </w:r>
      <w:r>
        <w:rPr>
          <w:rFonts w:ascii="Arial" w:cs="Arial" w:eastAsia="Arial" w:hAnsi="Arial"/>
          <w:sz w:val="20"/>
          <w:szCs w:val="20"/>
        </w:rPr>
        <w:t xml:space="preserve">Global Market Insights. (2025). Smart Factory Market Size, Share &amp; Forecast Report, 2025–2034. Retrieved from https://www.gminsights.com/industry-analysis/smart-factory-market [Market Report]</w:t>
      </w:r>
    </w:p>
    <w:p>
      <w:pPr>
        <w:spacing w:after="120"/>
        <w:ind w:left="720" w:hanging="360"/>
      </w:pPr>
      <w:r>
        <w:rPr>
          <w:rFonts w:ascii="Arial" w:cs="Arial" w:eastAsia="Arial" w:hAnsi="Arial"/>
          <w:b/>
          <w:bCs/>
          <w:sz w:val="20"/>
          <w:szCs w:val="20"/>
        </w:rPr>
        <w:t xml:space="preserve">[14] </w:t>
      </w:r>
      <w:r>
        <w:rPr>
          <w:rFonts w:ascii="Arial" w:cs="Arial" w:eastAsia="Arial" w:hAnsi="Arial"/>
          <w:sz w:val="20"/>
          <w:szCs w:val="20"/>
        </w:rPr>
        <w:t xml:space="preserve">Fluke Corporation. (2025). The High Cost of Unplanned Downtime. Industry Report. [Industry Report]</w:t>
      </w:r>
    </w:p>
    <w:p>
      <w:pPr>
        <w:spacing w:after="120"/>
        <w:ind w:left="720" w:hanging="360"/>
      </w:pPr>
      <w:r>
        <w:rPr>
          <w:rFonts w:ascii="Arial" w:cs="Arial" w:eastAsia="Arial" w:hAnsi="Arial"/>
          <w:b/>
          <w:bCs/>
          <w:sz w:val="20"/>
          <w:szCs w:val="20"/>
        </w:rPr>
        <w:t xml:space="preserve">[15] </w:t>
      </w:r>
      <w:r>
        <w:rPr>
          <w:rFonts w:ascii="Arial" w:cs="Arial" w:eastAsia="Arial" w:hAnsi="Arial"/>
          <w:sz w:val="20"/>
          <w:szCs w:val="20"/>
        </w:rPr>
        <w:t xml:space="preserve">Song, R., &amp; Telenko, C. (2016). Material waste of commercial FDM printers under realistic conditions. Proceedings of the 27th Annual International Solid Freeform Fabrication Symposium, Austin, Texas, pp. 1217–1229. [Conference Paper]</w:t>
      </w:r>
    </w:p>
    <w:p>
      <w:pPr>
        <w:spacing w:after="120"/>
        <w:ind w:left="720" w:hanging="360"/>
      </w:pPr>
      <w:r>
        <w:rPr>
          <w:rFonts w:ascii="Arial" w:cs="Arial" w:eastAsia="Arial" w:hAnsi="Arial"/>
          <w:b/>
          <w:bCs/>
          <w:sz w:val="20"/>
          <w:szCs w:val="20"/>
        </w:rPr>
        <w:t xml:space="preserve">[16] </w:t>
      </w:r>
      <w:r>
        <w:rPr>
          <w:rFonts w:ascii="Arial" w:cs="Arial" w:eastAsia="Arial" w:hAnsi="Arial"/>
          <w:sz w:val="20"/>
          <w:szCs w:val="20"/>
        </w:rPr>
        <w:t xml:space="preserve">Tech-Stack. (2026, March). AI Adoption in Manufacturing: Insights, ROI Benchmarks &amp; Trends. Retrieved May 2026 from https://tech-stack.com/blog/ai-adoption-in-manufacturing/ [Industry Analysis]</w:t>
      </w:r>
    </w:p>
    <w:p>
      <w:pPr>
        <w:spacing w:after="120"/>
        <w:ind w:left="720" w:hanging="360"/>
      </w:pPr>
      <w:r>
        <w:rPr>
          <w:rFonts w:ascii="Arial" w:cs="Arial" w:eastAsia="Arial" w:hAnsi="Arial"/>
          <w:b/>
          <w:bCs/>
          <w:sz w:val="20"/>
          <w:szCs w:val="20"/>
        </w:rPr>
        <w:t xml:space="preserve">[17] </w:t>
      </w:r>
      <w:r>
        <w:rPr>
          <w:rFonts w:ascii="Arial" w:cs="Arial" w:eastAsia="Arial" w:hAnsi="Arial"/>
          <w:sz w:val="20"/>
          <w:szCs w:val="20"/>
        </w:rPr>
        <w:t xml:space="preserve">NVIDIA Blog. (2025). 2025 Predictions: AI Finds a Reason to Tap Industry Data Lakes. Retrieved from https://blogs.nvidia.com/blog/industry-ai-predictions-2025/ [Industry Report]</w:t>
      </w:r>
    </w:p>
    <w:p>
      <w:pPr>
        <w:spacing w:after="120"/>
        <w:ind w:left="720" w:hanging="360"/>
      </w:pPr>
      <w:r>
        <w:rPr>
          <w:rFonts w:ascii="Arial" w:cs="Arial" w:eastAsia="Arial" w:hAnsi="Arial"/>
          <w:b/>
          <w:bCs/>
          <w:sz w:val="20"/>
          <w:szCs w:val="20"/>
        </w:rPr>
        <w:t xml:space="preserve">[18] </w:t>
      </w:r>
      <w:r>
        <w:rPr>
          <w:rFonts w:ascii="Arial" w:cs="Arial" w:eastAsia="Arial" w:hAnsi="Arial"/>
          <w:sz w:val="20"/>
          <w:szCs w:val="20"/>
        </w:rPr>
        <w:t xml:space="preserve">IIoT World. (2025, May). Industrial AI Trends 2025: Smarter Automation Is Here. Retrieved from https://www.iiot-world.com/artificial-intelligence-ml/artificial-intelligence/industrial-ai-trends-2025/ [Online Resource]</w:t>
      </w:r>
    </w:p>
    <w:p>
      <w:pPr>
        <w:spacing w:after="120"/>
        <w:ind w:left="720" w:hanging="360"/>
      </w:pPr>
      <w:r>
        <w:rPr>
          <w:rFonts w:ascii="Arial" w:cs="Arial" w:eastAsia="Arial" w:hAnsi="Arial"/>
          <w:b/>
          <w:bCs/>
          <w:sz w:val="20"/>
          <w:szCs w:val="20"/>
        </w:rPr>
        <w:t xml:space="preserve">[19] </w:t>
      </w:r>
      <w:r>
        <w:rPr>
          <w:rFonts w:ascii="Arial" w:cs="Arial" w:eastAsia="Arial" w:hAnsi="Arial"/>
          <w:sz w:val="20"/>
          <w:szCs w:val="20"/>
        </w:rPr>
        <w:t xml:space="preserve">Progressive Robot. (2026, May). Digital Twins 2027: Powerful Virtual Models for UK SMEs. Retrieved May 2026 from https://www.progressiverobot.com/2026/05/08/digital-twins-2027/ [Online Resource]</w:t>
      </w:r>
    </w:p>
    <w:p>
      <w:pPr>
        <w:spacing w:after="120"/>
        <w:ind w:left="720" w:hanging="360"/>
      </w:pPr>
      <w:r>
        <w:rPr>
          <w:rFonts w:ascii="Arial" w:cs="Arial" w:eastAsia="Arial" w:hAnsi="Arial"/>
          <w:b/>
          <w:bCs/>
          <w:sz w:val="20"/>
          <w:szCs w:val="20"/>
        </w:rPr>
        <w:t xml:space="preserve">[20] </w:t>
      </w:r>
      <w:r>
        <w:rPr>
          <w:rFonts w:ascii="Arial" w:cs="Arial" w:eastAsia="Arial" w:hAnsi="Arial"/>
          <w:sz w:val="20"/>
          <w:szCs w:val="20"/>
        </w:rPr>
        <w:t xml:space="preserve">Knowledge Sourcing Intelligence. (2025). Additive Manufacturing Market: Size, Trends, Forecast 2025–2030. Retrieved from https://www.knowledge-sourcing.com/report/additive-manufacturing-market [Market Report]</w:t>
      </w:r>
    </w:p>
    <w:p>
      <w:pPr>
        <w:spacing w:after="120"/>
        <w:ind w:left="720" w:hanging="360"/>
      </w:pPr>
      <w:r>
        <w:rPr>
          <w:rFonts w:ascii="Arial" w:cs="Arial" w:eastAsia="Arial" w:hAnsi="Arial"/>
          <w:b/>
          <w:bCs/>
          <w:sz w:val="20"/>
          <w:szCs w:val="20"/>
        </w:rPr>
        <w:t xml:space="preserve">[21] </w:t>
      </w:r>
      <w:r>
        <w:rPr>
          <w:rFonts w:ascii="Arial" w:cs="Arial" w:eastAsia="Arial" w:hAnsi="Arial"/>
          <w:sz w:val="20"/>
          <w:szCs w:val="20"/>
        </w:rPr>
        <w:t xml:space="preserve">Market Reports World. (2026). Additive Manufacturing Market Size &amp; Growth [2033]. Retrieved May 2026 from https://www.marketreportsworld.com/market-reports/additive-manufacturing-market-14719804 [Market Report]</w:t>
      </w:r>
    </w:p>
    <w:p>
      <w:pPr>
        <w:spacing w:after="120"/>
        <w:ind w:left="720" w:hanging="360"/>
      </w:pPr>
      <w:r>
        <w:rPr>
          <w:rFonts w:ascii="Arial" w:cs="Arial" w:eastAsia="Arial" w:hAnsi="Arial"/>
          <w:b/>
          <w:bCs/>
          <w:sz w:val="20"/>
          <w:szCs w:val="20"/>
        </w:rPr>
        <w:t xml:space="preserve">[22] </w:t>
      </w:r>
      <w:r>
        <w:rPr>
          <w:rFonts w:ascii="Arial" w:cs="Arial" w:eastAsia="Arial" w:hAnsi="Arial"/>
          <w:sz w:val="20"/>
          <w:szCs w:val="20"/>
        </w:rPr>
        <w:t xml:space="preserve">Deloitte. (2017). Predictive maintenance and the smart factory. Deloitte Development LLC. [Industry Report]</w:t>
      </w:r>
    </w:p>
    <w:p>
      <w:pPr>
        <w:spacing w:after="200"/>
      </w:pPr>
    </w:p>
    <w:p>
      <w:pPr>
        <w:pBdr>
          <w:bottom w:val="single" w:color="2E75B6" w:sz="6" w:space="1"/>
        </w:pBdr>
        <w:spacing w:after="200" w:before="200"/>
      </w:pPr>
    </w:p>
    <w:p>
      <w:pPr>
        <w:pStyle w:val="Heading2"/>
        <w:spacing w:after="160" w:before="280"/>
      </w:pPr>
      <w:r>
        <w:rPr>
          <w:rFonts w:ascii="Arial" w:cs="Arial" w:eastAsia="Arial" w:hAnsi="Arial"/>
          <w:b/>
          <w:bCs/>
          <w:sz w:val="26"/>
          <w:szCs w:val="26"/>
        </w:rPr>
        <w:t xml:space="preserve">Search Guide — Finding Your Own References</w:t>
      </w:r>
    </w:p>
    <w:p>
      <w:pPr>
        <w:spacing w:after="160" w:line="276"/>
        <w:jc w:val="both"/>
      </w:pPr>
      <w:r>
        <w:rPr>
          <w:rFonts w:ascii="Arial" w:cs="Arial" w:eastAsia="Arial" w:hAnsi="Arial"/>
          <w:sz w:val="22"/>
          <w:szCs w:val="22"/>
        </w:rPr>
        <w:t xml:space="preserve">To independently verify or extend the references provided above, the following search strategies are recommended:</w:t>
      </w:r>
    </w:p>
    <w:p>
      <w:pPr>
        <w:spacing w:after="120"/>
      </w:pPr>
      <w:r>
        <w:rPr>
          <w:rFonts w:ascii="Arial" w:cs="Arial" w:eastAsia="Arial" w:hAnsi="Arial"/>
          <w:b/>
          <w:bCs/>
          <w:sz w:val="22"/>
          <w:szCs w:val="22"/>
          <w:u w:val="single"/>
        </w:rPr>
        <w:t xml:space="preserve">Academic Databases (Recommended)</w:t>
      </w:r>
    </w:p>
    <w:p>
      <w:pPr>
        <w:pStyle w:val="ListParagraph"/>
        <w:numPr>
          <w:ilvl w:val="0"/>
          <w:numId w:val="2"/>
        </w:numPr>
        <w:spacing w:after="100" w:line="276"/>
      </w:pPr>
      <w:r>
        <w:rPr>
          <w:rFonts w:ascii="Arial" w:cs="Arial" w:eastAsia="Arial" w:hAnsi="Arial"/>
          <w:sz w:val="22"/>
          <w:szCs w:val="22"/>
        </w:rPr>
        <w:t xml:space="preserve">Google Scholar: scholar.google.com — Search: "Industry 4.0 additive manufacturing" OR "digital twin 3D printing predictive maintenance" — Filter: Since 2022, sorted by citations</w:t>
      </w:r>
    </w:p>
    <w:p>
      <w:pPr>
        <w:pStyle w:val="ListParagraph"/>
        <w:numPr>
          <w:ilvl w:val="0"/>
          <w:numId w:val="2"/>
        </w:numPr>
        <w:spacing w:after="100" w:line="276"/>
      </w:pPr>
      <w:r>
        <w:rPr>
          <w:rFonts w:ascii="Arial" w:cs="Arial" w:eastAsia="Arial" w:hAnsi="Arial"/>
          <w:sz w:val="22"/>
          <w:szCs w:val="22"/>
        </w:rPr>
        <w:t xml:space="preserve">IEEE Xplore: ieeexplore.ieee.org — Search: "Industry 4.0 challenges" OR "smart manufacturing IoT" — Best for conference papers and transactions</w:t>
      </w:r>
    </w:p>
    <w:p>
      <w:pPr>
        <w:pStyle w:val="ListParagraph"/>
        <w:numPr>
          <w:ilvl w:val="0"/>
          <w:numId w:val="2"/>
        </w:numPr>
        <w:spacing w:after="100" w:line="276"/>
      </w:pPr>
      <w:r>
        <w:rPr>
          <w:rFonts w:ascii="Arial" w:cs="Arial" w:eastAsia="Arial" w:hAnsi="Arial"/>
          <w:sz w:val="22"/>
          <w:szCs w:val="22"/>
        </w:rPr>
        <w:t xml:space="preserve">ScienceDirect / Elsevier: sciencedirect.com — Search: "additive manufacturing Industry 4.0" — Journal of Manufacturing Systems, Computers in Industry</w:t>
      </w:r>
    </w:p>
    <w:p>
      <w:pPr>
        <w:pStyle w:val="ListParagraph"/>
        <w:numPr>
          <w:ilvl w:val="0"/>
          <w:numId w:val="2"/>
        </w:numPr>
        <w:spacing w:after="100" w:line="276"/>
      </w:pPr>
      <w:r>
        <w:rPr>
          <w:rFonts w:ascii="Arial" w:cs="Arial" w:eastAsia="Arial" w:hAnsi="Arial"/>
          <w:sz w:val="22"/>
          <w:szCs w:val="22"/>
        </w:rPr>
        <w:t xml:space="preserve">Springer Link: link.springer.com — Search: "digital twin manufacturing" OR "cyber-physical systems challenges" — International Journal of Advanced Manufacturing Technology</w:t>
      </w:r>
    </w:p>
    <w:p>
      <w:pPr>
        <w:pStyle w:val="ListParagraph"/>
        <w:numPr>
          <w:ilvl w:val="0"/>
          <w:numId w:val="2"/>
        </w:numPr>
        <w:spacing w:after="100" w:line="276"/>
      </w:pPr>
      <w:r>
        <w:rPr>
          <w:rFonts w:ascii="Arial" w:cs="Arial" w:eastAsia="Arial" w:hAnsi="Arial"/>
          <w:sz w:val="22"/>
          <w:szCs w:val="22"/>
        </w:rPr>
        <w:t xml:space="preserve">MDPI (Open Access): mdpi.com — Search: "Industry 4.0 survey" OR "predictive maintenance FDM" — Sensors journal, Applied Sciences, Machines</w:t>
      </w:r>
    </w:p>
    <w:p>
      <w:pPr>
        <w:pStyle w:val="ListParagraph"/>
        <w:numPr>
          <w:ilvl w:val="0"/>
          <w:numId w:val="2"/>
        </w:numPr>
        <w:spacing w:after="100" w:line="276"/>
      </w:pPr>
      <w:r>
        <w:rPr>
          <w:rFonts w:ascii="Arial" w:cs="Arial" w:eastAsia="Arial" w:hAnsi="Arial"/>
          <w:sz w:val="22"/>
          <w:szCs w:val="22"/>
        </w:rPr>
        <w:t xml:space="preserve">Scopus: scopus.com — Best for citation metrics and journal ranking verification (Q1/Q2 classification)</w:t>
      </w:r>
    </w:p>
    <w:p>
      <w:pPr>
        <w:spacing w:after="120" w:before="160"/>
      </w:pPr>
      <w:r>
        <w:rPr>
          <w:rFonts w:ascii="Arial" w:cs="Arial" w:eastAsia="Arial" w:hAnsi="Arial"/>
          <w:b/>
          <w:bCs/>
          <w:sz w:val="22"/>
          <w:szCs w:val="22"/>
          <w:u w:val="single"/>
        </w:rPr>
        <w:t xml:space="preserve">Recommended Search Queries</w:t>
      </w:r>
    </w:p>
    <w:p>
      <w:pPr>
        <w:pStyle w:val="ListParagraph"/>
        <w:numPr>
          <w:ilvl w:val="0"/>
          <w:numId w:val="2"/>
        </w:numPr>
        <w:spacing w:after="100" w:line="276"/>
      </w:pPr>
      <w:r>
        <w:rPr>
          <w:rFonts w:ascii="Arial" w:cs="Arial" w:eastAsia="Arial" w:hAnsi="Arial"/>
          <w:sz w:val="22"/>
          <w:szCs w:val="22"/>
        </w:rPr>
        <w:t xml:space="preserve">"Industry 4.0" AND "additive manufacturing" AND "digital twin" (2022–2026)</w:t>
      </w:r>
    </w:p>
    <w:p>
      <w:pPr>
        <w:pStyle w:val="ListParagraph"/>
        <w:numPr>
          <w:ilvl w:val="0"/>
          <w:numId w:val="2"/>
        </w:numPr>
        <w:spacing w:after="100" w:line="276"/>
      </w:pPr>
      <w:r>
        <w:rPr>
          <w:rFonts w:ascii="Arial" w:cs="Arial" w:eastAsia="Arial" w:hAnsi="Arial"/>
          <w:sz w:val="22"/>
          <w:szCs w:val="22"/>
        </w:rPr>
        <w:t xml:space="preserve">"FDM 3D printing" AND "predictive maintenance" AND "machine learning"</w:t>
      </w:r>
    </w:p>
    <w:p>
      <w:pPr>
        <w:pStyle w:val="ListParagraph"/>
        <w:numPr>
          <w:ilvl w:val="0"/>
          <w:numId w:val="2"/>
        </w:numPr>
        <w:spacing w:after="100" w:line="276"/>
      </w:pPr>
      <w:r>
        <w:rPr>
          <w:rFonts w:ascii="Arial" w:cs="Arial" w:eastAsia="Arial" w:hAnsi="Arial"/>
          <w:sz w:val="22"/>
          <w:szCs w:val="22"/>
        </w:rPr>
        <w:t xml:space="preserve">"Industry 4.0 challenges" AND "SME" AND "legacy systems"</w:t>
      </w:r>
    </w:p>
    <w:p>
      <w:pPr>
        <w:pStyle w:val="ListParagraph"/>
        <w:numPr>
          <w:ilvl w:val="0"/>
          <w:numId w:val="2"/>
        </w:numPr>
        <w:spacing w:after="100" w:line="276"/>
      </w:pPr>
      <w:r>
        <w:rPr>
          <w:rFonts w:ascii="Arial" w:cs="Arial" w:eastAsia="Arial" w:hAnsi="Arial"/>
          <w:sz w:val="22"/>
          <w:szCs w:val="22"/>
        </w:rPr>
        <w:t xml:space="preserve">"cyber-physical systems" AND "smart factory" AND "IoT"</w:t>
      </w:r>
    </w:p>
    <w:p>
      <w:pPr>
        <w:pStyle w:val="ListParagraph"/>
        <w:numPr>
          <w:ilvl w:val="0"/>
          <w:numId w:val="2"/>
        </w:numPr>
        <w:spacing w:after="100" w:line="276"/>
      </w:pPr>
      <w:r>
        <w:rPr>
          <w:rFonts w:ascii="Arial" w:cs="Arial" w:eastAsia="Arial" w:hAnsi="Arial"/>
          <w:sz w:val="22"/>
          <w:szCs w:val="22"/>
        </w:rPr>
        <w:t xml:space="preserve">"additive manufacturing" AND "condition monitoring" AND "sensor"</w:t>
      </w:r>
    </w:p>
    <w:p>
      <w:pPr>
        <w:spacing w:after="120" w:before="160"/>
      </w:pPr>
      <w:r>
        <w:rPr>
          <w:rFonts w:ascii="Arial" w:cs="Arial" w:eastAsia="Arial" w:hAnsi="Arial"/>
          <w:b/>
          <w:bCs/>
          <w:sz w:val="22"/>
          <w:szCs w:val="22"/>
          <w:u w:val="single"/>
        </w:rPr>
        <w:t xml:space="preserve">Highly Cited Foundational Papers to Look For</w:t>
      </w:r>
    </w:p>
    <w:p>
      <w:pPr>
        <w:pStyle w:val="ListParagraph"/>
        <w:numPr>
          <w:ilvl w:val="0"/>
          <w:numId w:val="2"/>
        </w:numPr>
        <w:spacing w:after="100" w:line="276"/>
      </w:pPr>
      <w:r>
        <w:rPr>
          <w:rFonts w:ascii="Arial" w:cs="Arial" w:eastAsia="Arial" w:hAnsi="Arial"/>
          <w:sz w:val="22"/>
          <w:szCs w:val="22"/>
        </w:rPr>
        <w:t xml:space="preserve">Schwab, K. (2016). The Fourth Industrial Revolution — World Economic Forum</w:t>
      </w:r>
    </w:p>
    <w:p>
      <w:pPr>
        <w:pStyle w:val="ListParagraph"/>
        <w:numPr>
          <w:ilvl w:val="0"/>
          <w:numId w:val="2"/>
        </w:numPr>
        <w:spacing w:after="100" w:line="276"/>
      </w:pPr>
      <w:r>
        <w:rPr>
          <w:rFonts w:ascii="Arial" w:cs="Arial" w:eastAsia="Arial" w:hAnsi="Arial"/>
          <w:sz w:val="22"/>
          <w:szCs w:val="22"/>
        </w:rPr>
        <w:t xml:space="preserve">Lu, Y. (2017). Industry 4.0: A survey on technologies, applications and open research issues — Journal of Industrial Information Integration</w:t>
      </w:r>
    </w:p>
    <w:p>
      <w:pPr>
        <w:pStyle w:val="ListParagraph"/>
        <w:numPr>
          <w:ilvl w:val="0"/>
          <w:numId w:val="2"/>
        </w:numPr>
        <w:spacing w:after="100" w:line="276"/>
      </w:pPr>
      <w:r>
        <w:rPr>
          <w:rFonts w:ascii="Arial" w:cs="Arial" w:eastAsia="Arial" w:hAnsi="Arial"/>
          <w:sz w:val="22"/>
          <w:szCs w:val="22"/>
        </w:rPr>
        <w:t xml:space="preserve">Tao, F. et al. (2018). Digital twin-driven product design, manufacturing and service with big data — Int. J. Advanced Manufacturing Technology</w:t>
      </w:r>
    </w:p>
    <w:p>
      <w:pPr>
        <w:pStyle w:val="ListParagraph"/>
        <w:numPr>
          <w:ilvl w:val="0"/>
          <w:numId w:val="2"/>
        </w:numPr>
        <w:spacing w:after="100" w:line="276"/>
      </w:pPr>
      <w:r>
        <w:rPr>
          <w:rFonts w:ascii="Arial" w:cs="Arial" w:eastAsia="Arial" w:hAnsi="Arial"/>
          <w:sz w:val="22"/>
          <w:szCs w:val="22"/>
        </w:rPr>
        <w:t xml:space="preserve">Grieves, M. (2014). Digital twin: Manufacturing excellence through virtual factory replication — White Paper (origin of digital twin concept)</w:t>
      </w:r>
    </w:p>
    <w:p>
      <w:pPr>
        <w:pStyle w:val="ListParagraph"/>
        <w:numPr>
          <w:ilvl w:val="0"/>
          <w:numId w:val="2"/>
        </w:numPr>
        <w:spacing w:after="100" w:line="276"/>
      </w:pPr>
      <w:r>
        <w:rPr>
          <w:rFonts w:ascii="Arial" w:cs="Arial" w:eastAsia="Arial" w:hAnsi="Arial"/>
          <w:sz w:val="22"/>
          <w:szCs w:val="22"/>
        </w:rPr>
        <w:t xml:space="preserve">Lasi, H. et al. (2014). Industry 4.0 — Business &amp; Information Systems Engineering (first major academic paper on the topic)</w:t>
      </w:r>
    </w:p>
    <w:p>
      <w:pPr>
        <w:pStyle w:val="ListParagraph"/>
        <w:numPr>
          <w:ilvl w:val="0"/>
          <w:numId w:val="2"/>
        </w:numPr>
        <w:spacing w:after="100" w:line="276"/>
      </w:pPr>
      <w:r>
        <w:rPr>
          <w:rFonts w:ascii="Arial" w:cs="Arial" w:eastAsia="Arial" w:hAnsi="Arial"/>
          <w:sz w:val="22"/>
          <w:szCs w:val="22"/>
        </w:rPr>
        <w:t xml:space="preserve">Wohlers Report 2025 — Annual additive manufacturing industry benchmark (cited globally for AM market data)</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2026-05-08T19:07:41.302Z</dcterms:created>
  <dcterms:modified xsi:type="dcterms:W3CDTF">2026-05-08T19:07:41.303Z</dcterms:modified>
</cp:coreProperties>
</file>

<file path=docProps/custom.xml><?xml version="1.0" encoding="utf-8"?>
<Properties xmlns="http://schemas.openxmlformats.org/officeDocument/2006/custom-properties" xmlns:vt="http://schemas.openxmlformats.org/officeDocument/2006/docPropsVTypes"/>
</file>