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A727" w14:textId="77777777" w:rsidR="003E4CF8" w:rsidRPr="00DE1277" w:rsidRDefault="003E4CF8" w:rsidP="003E4CF8">
      <w:pPr>
        <w:pStyle w:val="Titre1"/>
        <w:spacing w:before="0" w:after="240"/>
      </w:pPr>
      <w:r w:rsidRPr="00DE1277">
        <w:rPr>
          <w:rFonts w:ascii="Arial" w:eastAsia="Arial" w:hAnsi="Arial" w:cs="Arial"/>
          <w:b/>
          <w:bCs/>
          <w:sz w:val="34"/>
          <w:szCs w:val="34"/>
        </w:rPr>
        <w:t>Chapter 1: State of the Art, Comparative Study, Analysis and Synthesis</w:t>
      </w:r>
    </w:p>
    <w:p w14:paraId="217C5AC3" w14:textId="77777777" w:rsidR="003E4CF8" w:rsidRPr="00DE1277" w:rsidRDefault="003E4CF8" w:rsidP="003E4CF8">
      <w:pPr>
        <w:pBdr>
          <w:bottom w:val="single" w:sz="6" w:space="1" w:color="2E75B6"/>
        </w:pBdr>
        <w:spacing w:before="200" w:after="200"/>
      </w:pPr>
    </w:p>
    <w:p w14:paraId="159DB66F" w14:textId="77777777" w:rsidR="003E4CF8" w:rsidRPr="00DE1277" w:rsidRDefault="003E4CF8" w:rsidP="003E4CF8"/>
    <w:p w14:paraId="0BBE256F" w14:textId="77777777" w:rsidR="00DE1277" w:rsidRPr="00DE1277" w:rsidRDefault="00DE1277" w:rsidP="00DE1277">
      <w:pPr>
        <w:rPr>
          <w:b/>
          <w:bCs/>
        </w:rPr>
      </w:pPr>
      <w:r w:rsidRPr="00DE1277">
        <w:rPr>
          <w:b/>
          <w:bCs/>
        </w:rPr>
        <w:t>1.1.1 Definition</w:t>
      </w:r>
    </w:p>
    <w:p w14:paraId="18AECFCB" w14:textId="13927AB5" w:rsidR="00DE1277" w:rsidRPr="00E22369" w:rsidRDefault="00DE1277" w:rsidP="00DE1277">
      <w:pPr>
        <w:rPr>
          <w:color w:val="ED7D31" w:themeColor="accent2"/>
        </w:rPr>
      </w:pPr>
      <w:r w:rsidRPr="00E22369">
        <w:rPr>
          <w:color w:val="70AD47" w:themeColor="accent6"/>
        </w:rPr>
        <w:t>Industry 4.0</w:t>
      </w:r>
      <w:r w:rsidRPr="00E22369">
        <w:rPr>
          <w:color w:val="70AD47" w:themeColor="accent6"/>
        </w:rPr>
        <w:t xml:space="preserve"> (</w:t>
      </w:r>
      <w:r w:rsidRPr="00E22369">
        <w:rPr>
          <w:color w:val="70AD47" w:themeColor="accent6"/>
        </w:rPr>
        <w:t>I4.0</w:t>
      </w:r>
      <w:r w:rsidRPr="00E22369">
        <w:rPr>
          <w:color w:val="70AD47" w:themeColor="accent6"/>
        </w:rPr>
        <w:t>)</w:t>
      </w:r>
      <w:r w:rsidRPr="00E22369">
        <w:rPr>
          <w:color w:val="70AD47" w:themeColor="accent6"/>
        </w:rPr>
        <w:t xml:space="preserve"> denotes the Fourth Industrial Revolution, </w:t>
      </w:r>
      <w:proofErr w:type="spellStart"/>
      <w:r w:rsidRPr="00E22369">
        <w:rPr>
          <w:color w:val="70AD47" w:themeColor="accent6"/>
        </w:rPr>
        <w:t>characterised</w:t>
      </w:r>
      <w:proofErr w:type="spellEnd"/>
      <w:r w:rsidRPr="00E22369">
        <w:rPr>
          <w:color w:val="70AD47" w:themeColor="accent6"/>
        </w:rPr>
        <w:t xml:space="preserve"> by the integration of cyber</w:t>
      </w:r>
      <w:r w:rsidRPr="00E22369">
        <w:rPr>
          <w:color w:val="70AD47" w:themeColor="accent6"/>
        </w:rPr>
        <w:noBreakHyphen/>
        <w:t>physical systems (CPS), the Internet of Things (IoT), cloud computing, and artificial intelligence into manufacturing [1]</w:t>
      </w:r>
      <w:r w:rsidRPr="00DE1277">
        <w:t xml:space="preserve">. </w:t>
      </w:r>
      <w:r w:rsidRPr="00E22369">
        <w:rPr>
          <w:color w:val="ED7D31" w:themeColor="accent2"/>
        </w:rPr>
        <w:t>First articulated in the German high</w:t>
      </w:r>
      <w:r w:rsidRPr="00E22369">
        <w:rPr>
          <w:color w:val="ED7D31" w:themeColor="accent2"/>
        </w:rPr>
        <w:noBreakHyphen/>
        <w:t xml:space="preserve">tech strategy, the concept has been </w:t>
      </w:r>
      <w:proofErr w:type="spellStart"/>
      <w:r w:rsidRPr="00E22369">
        <w:rPr>
          <w:color w:val="ED7D31" w:themeColor="accent2"/>
        </w:rPr>
        <w:t>formalised</w:t>
      </w:r>
      <w:proofErr w:type="spellEnd"/>
      <w:r w:rsidRPr="00E22369">
        <w:rPr>
          <w:color w:val="ED7D31" w:themeColor="accent2"/>
        </w:rPr>
        <w:t xml:space="preserve"> in academic literature as “a new level of value chain </w:t>
      </w:r>
      <w:proofErr w:type="spellStart"/>
      <w:r w:rsidRPr="00E22369">
        <w:rPr>
          <w:color w:val="ED7D31" w:themeColor="accent2"/>
        </w:rPr>
        <w:t>organisation</w:t>
      </w:r>
      <w:proofErr w:type="spellEnd"/>
      <w:r w:rsidRPr="00E22369">
        <w:rPr>
          <w:color w:val="ED7D31" w:themeColor="accent2"/>
        </w:rPr>
        <w:t xml:space="preserve"> and management across the lifecycle of products” that relies on real</w:t>
      </w:r>
      <w:r w:rsidRPr="00E22369">
        <w:rPr>
          <w:color w:val="ED7D31" w:themeColor="accent2"/>
        </w:rPr>
        <w:noBreakHyphen/>
        <w:t>time data exchange and autonomous decision</w:t>
      </w:r>
      <w:r w:rsidRPr="00E22369">
        <w:rPr>
          <w:color w:val="ED7D31" w:themeColor="accent2"/>
        </w:rPr>
        <w:noBreakHyphen/>
        <w:t>making [2][3].</w:t>
      </w:r>
    </w:p>
    <w:p w14:paraId="056668A1" w14:textId="2CFF06F2" w:rsidR="00DE1277" w:rsidRPr="00991653" w:rsidRDefault="00DE1277" w:rsidP="00DE1277">
      <w:pPr>
        <w:rPr>
          <w:color w:val="ED7D31" w:themeColor="accent2"/>
        </w:rPr>
      </w:pPr>
      <w:r w:rsidRPr="00991653">
        <w:rPr>
          <w:color w:val="ED7D31" w:themeColor="accent2"/>
        </w:rPr>
        <w:t>Within this paradigm</w:t>
      </w:r>
      <w:r w:rsidRPr="00DE1277">
        <w:t>, </w:t>
      </w:r>
      <w:r w:rsidRPr="00991653">
        <w:rPr>
          <w:color w:val="70AD47" w:themeColor="accent6"/>
        </w:rPr>
        <w:t xml:space="preserve">additive manufacturing (AM) builds objects layer by layer directly from digital models, enabling complex geometries, mass </w:t>
      </w:r>
      <w:proofErr w:type="spellStart"/>
      <w:r w:rsidRPr="00991653">
        <w:rPr>
          <w:color w:val="70AD47" w:themeColor="accent6"/>
        </w:rPr>
        <w:t>customisation</w:t>
      </w:r>
      <w:proofErr w:type="spellEnd"/>
      <w:r w:rsidRPr="00991653">
        <w:rPr>
          <w:color w:val="70AD47" w:themeColor="accent6"/>
        </w:rPr>
        <w:t xml:space="preserve">, and </w:t>
      </w:r>
      <w:proofErr w:type="spellStart"/>
      <w:r w:rsidRPr="00991653">
        <w:rPr>
          <w:color w:val="70AD47" w:themeColor="accent6"/>
        </w:rPr>
        <w:t>decentralised</w:t>
      </w:r>
      <w:proofErr w:type="spellEnd"/>
      <w:r w:rsidRPr="00991653">
        <w:rPr>
          <w:color w:val="70AD47" w:themeColor="accent6"/>
        </w:rPr>
        <w:t xml:space="preserve"> production that align with I4.0’s goals of flexibility and smart resource use [4][5]</w:t>
      </w:r>
      <w:r w:rsidRPr="00DE1277">
        <w:t xml:space="preserve">. </w:t>
      </w:r>
      <w:r w:rsidRPr="00991653">
        <w:rPr>
          <w:color w:val="ED7D31" w:themeColor="accent2"/>
        </w:rPr>
        <w:t>The synergy between AM and other I4.0 pillars—such as IoT</w:t>
      </w:r>
      <w:r w:rsidRPr="00991653">
        <w:rPr>
          <w:color w:val="ED7D31" w:themeColor="accent2"/>
        </w:rPr>
        <w:noBreakHyphen/>
        <w:t>enabled machines and AI</w:t>
      </w:r>
      <w:r w:rsidRPr="00991653">
        <w:rPr>
          <w:color w:val="ED7D31" w:themeColor="accent2"/>
        </w:rPr>
        <w:noBreakHyphen/>
        <w:t>based quality assurance—makes AM a natural testbed for digital twin and predictive maintenance research [6].</w:t>
      </w:r>
    </w:p>
    <w:p w14:paraId="44C89FB6" w14:textId="77777777" w:rsidR="00DE1277" w:rsidRPr="00991653" w:rsidRDefault="00DE1277" w:rsidP="00DE1277">
      <w:pPr>
        <w:rPr>
          <w:color w:val="AEAAAA" w:themeColor="background2" w:themeShade="BF"/>
        </w:rPr>
      </w:pPr>
      <w:r w:rsidRPr="00991653">
        <w:rPr>
          <w:i/>
          <w:iCs/>
          <w:color w:val="AEAAAA" w:themeColor="background2" w:themeShade="BF"/>
        </w:rPr>
        <w:t>Key definition:</w:t>
      </w:r>
      <w:r w:rsidRPr="00991653">
        <w:rPr>
          <w:color w:val="AEAAAA" w:themeColor="background2" w:themeShade="BF"/>
        </w:rPr>
        <w:t> Industry 4.0 is the fusion of physical and digital worlds through CPS, IoT, and data</w:t>
      </w:r>
      <w:r w:rsidRPr="00991653">
        <w:rPr>
          <w:color w:val="AEAAAA" w:themeColor="background2" w:themeShade="BF"/>
        </w:rPr>
        <w:noBreakHyphen/>
        <w:t>driven intelligence, creating smart factories that are self</w:t>
      </w:r>
      <w:r w:rsidRPr="00991653">
        <w:rPr>
          <w:color w:val="AEAAAA" w:themeColor="background2" w:themeShade="BF"/>
        </w:rPr>
        <w:noBreakHyphen/>
        <w:t>aware, predictive, and adaptive [1][2].</w:t>
      </w:r>
    </w:p>
    <w:p w14:paraId="5FA3DDEF" w14:textId="77777777" w:rsidR="00DE1277" w:rsidRPr="00DE1277" w:rsidRDefault="00DE1277" w:rsidP="00DE1277">
      <w:pPr>
        <w:rPr>
          <w:b/>
          <w:bCs/>
        </w:rPr>
      </w:pPr>
      <w:r w:rsidRPr="00DE1277">
        <w:rPr>
          <w:b/>
          <w:bCs/>
        </w:rPr>
        <w:t>1.1.2 Industrial Challenges</w:t>
      </w:r>
    </w:p>
    <w:p w14:paraId="2C860B58" w14:textId="77777777" w:rsidR="00DE1277" w:rsidRPr="00991653" w:rsidRDefault="00DE1277" w:rsidP="00DE1277">
      <w:pPr>
        <w:rPr>
          <w:color w:val="EE0000"/>
        </w:rPr>
      </w:pPr>
      <w:r w:rsidRPr="00991653">
        <w:rPr>
          <w:color w:val="EE0000"/>
        </w:rPr>
        <w:t>The transition to Industry 4.0 is not frictionless. Academic surveys consistently identify a cluster of persistent challenges:</w:t>
      </w:r>
    </w:p>
    <w:p w14:paraId="2D6DE990" w14:textId="54F03247" w:rsidR="00DE1277" w:rsidRPr="00DE1277" w:rsidRDefault="00DE1277" w:rsidP="00DE1277">
      <w:pPr>
        <w:numPr>
          <w:ilvl w:val="0"/>
          <w:numId w:val="1"/>
        </w:numPr>
        <w:spacing w:after="160" w:line="259" w:lineRule="auto"/>
      </w:pPr>
      <w:r w:rsidRPr="00991653">
        <w:rPr>
          <w:b/>
          <w:bCs/>
          <w:color w:val="70AD47" w:themeColor="accent6"/>
        </w:rPr>
        <w:t>Legacy system integration and interoperability</w:t>
      </w:r>
      <w:r w:rsidRPr="00991653">
        <w:rPr>
          <w:color w:val="70AD47" w:themeColor="accent6"/>
        </w:rPr>
        <w:t> </w:t>
      </w:r>
      <w:r w:rsidRPr="00DE1277">
        <w:t xml:space="preserve">– Existing machinery often lacks modern interfaces, causing data silos and heterogeneous communication protocols. </w:t>
      </w:r>
      <w:r w:rsidR="00E22369">
        <w:t>T</w:t>
      </w:r>
      <w:r w:rsidRPr="00DE1277">
        <w:t xml:space="preserve">his </w:t>
      </w:r>
      <w:r w:rsidR="00E22369">
        <w:t xml:space="preserve">can be formalized </w:t>
      </w:r>
      <w:r w:rsidRPr="00DE1277">
        <w:t>as a core integration problem, proposing middleware solutions like Asset Administration Shells to bridge old and new systems.</w:t>
      </w:r>
      <w:r w:rsidR="00E22369" w:rsidRPr="00E22369">
        <w:t xml:space="preserve"> </w:t>
      </w:r>
      <w:proofErr w:type="spellStart"/>
      <w:r w:rsidR="00E22369" w:rsidRPr="00DE1277">
        <w:t>Zielstorff</w:t>
      </w:r>
      <w:proofErr w:type="spellEnd"/>
      <w:r w:rsidR="00E22369" w:rsidRPr="00DE1277">
        <w:t xml:space="preserve"> et al. [7]</w:t>
      </w:r>
    </w:p>
    <w:p w14:paraId="6CA614CC" w14:textId="14AD14B6" w:rsidR="00DE1277" w:rsidRPr="00DE1277" w:rsidRDefault="00DE1277" w:rsidP="00DE1277">
      <w:pPr>
        <w:numPr>
          <w:ilvl w:val="0"/>
          <w:numId w:val="1"/>
        </w:numPr>
        <w:spacing w:after="160" w:line="259" w:lineRule="auto"/>
      </w:pPr>
      <w:r w:rsidRPr="00991653">
        <w:rPr>
          <w:b/>
          <w:bCs/>
          <w:color w:val="767171" w:themeColor="background2" w:themeShade="80"/>
        </w:rPr>
        <w:t>Cybersecurity</w:t>
      </w:r>
      <w:r w:rsidRPr="00DE1277">
        <w:t> – Interconnecting previously isolated production networks exposes manufacturing to cyber</w:t>
      </w:r>
      <w:r w:rsidRPr="00DE1277">
        <w:noBreakHyphen/>
        <w:t xml:space="preserve">physical attacks. </w:t>
      </w:r>
      <w:r w:rsidR="00E22369">
        <w:t>S</w:t>
      </w:r>
      <w:r w:rsidRPr="00DE1277">
        <w:t>ecurity and privacy concerns remain among the top barriers, especially in SMEs that lack dedicated IT security expertise.</w:t>
      </w:r>
      <w:r w:rsidR="00E22369" w:rsidRPr="00DE1277">
        <w:t xml:space="preserve"> </w:t>
      </w:r>
      <w:proofErr w:type="spellStart"/>
      <w:r w:rsidR="00E22369" w:rsidRPr="00DE1277">
        <w:t>Lezzi</w:t>
      </w:r>
      <w:proofErr w:type="spellEnd"/>
      <w:r w:rsidR="00E22369" w:rsidRPr="00DE1277">
        <w:t xml:space="preserve"> et al. [8]</w:t>
      </w:r>
    </w:p>
    <w:p w14:paraId="3A78CDFF" w14:textId="77777777" w:rsidR="00DE1277" w:rsidRPr="00DE1277" w:rsidRDefault="00DE1277" w:rsidP="00DE1277">
      <w:pPr>
        <w:numPr>
          <w:ilvl w:val="0"/>
          <w:numId w:val="1"/>
        </w:numPr>
        <w:spacing w:after="160" w:line="259" w:lineRule="auto"/>
      </w:pPr>
      <w:r w:rsidRPr="00991653">
        <w:rPr>
          <w:b/>
          <w:bCs/>
          <w:color w:val="767171" w:themeColor="background2" w:themeShade="80"/>
        </w:rPr>
        <w:t>Workforce skills gap</w:t>
      </w:r>
      <w:r w:rsidRPr="00991653">
        <w:rPr>
          <w:color w:val="767171" w:themeColor="background2" w:themeShade="80"/>
        </w:rPr>
        <w:t> </w:t>
      </w:r>
      <w:r w:rsidRPr="00DE1277">
        <w:t>– The shift to data</w:t>
      </w:r>
      <w:r w:rsidRPr="00DE1277">
        <w:noBreakHyphen/>
        <w:t xml:space="preserve">driven manufacturing demands new competencies. </w:t>
      </w:r>
      <w:proofErr w:type="spellStart"/>
      <w:r w:rsidRPr="00E22369">
        <w:rPr>
          <w:color w:val="ED7D31" w:themeColor="accent2"/>
        </w:rPr>
        <w:t>Techanamurthy</w:t>
      </w:r>
      <w:proofErr w:type="spellEnd"/>
      <w:r w:rsidRPr="00E22369">
        <w:rPr>
          <w:color w:val="ED7D31" w:themeColor="accent2"/>
        </w:rPr>
        <w:t xml:space="preserve"> et al. [9] demonstrated, using a readiness framework on 506 SMEs, that workforce competency scored the lowest among all I4.0 readiness dimensions—a finding echoed by Oesterreich and Teuteberg [10] in their study of the construction industry and mirrored in discrete manufacturing.</w:t>
      </w:r>
    </w:p>
    <w:p w14:paraId="47837B17" w14:textId="77777777" w:rsidR="00DE1277" w:rsidRPr="00DE1277" w:rsidRDefault="00DE1277" w:rsidP="00DE1277">
      <w:pPr>
        <w:numPr>
          <w:ilvl w:val="0"/>
          <w:numId w:val="1"/>
        </w:numPr>
        <w:spacing w:after="160" w:line="259" w:lineRule="auto"/>
      </w:pPr>
      <w:r w:rsidRPr="00991653">
        <w:rPr>
          <w:b/>
          <w:bCs/>
          <w:color w:val="ED7D31" w:themeColor="accent2"/>
        </w:rPr>
        <w:t>High capital expenditure</w:t>
      </w:r>
      <w:r w:rsidRPr="00991653">
        <w:rPr>
          <w:color w:val="ED7D31" w:themeColor="accent2"/>
        </w:rPr>
        <w:t xml:space="preserve"> – While sensor costs are falling, the initial investment in CPS infrastructure, edge computing, and training remains prohibitive for many SMEs </w:t>
      </w:r>
      <w:r w:rsidRPr="00DE1277">
        <w:t>[11].</w:t>
      </w:r>
    </w:p>
    <w:p w14:paraId="1A15F7D3" w14:textId="77777777" w:rsidR="00DE1277" w:rsidRPr="00991653" w:rsidRDefault="00DE1277" w:rsidP="00DE1277">
      <w:pPr>
        <w:numPr>
          <w:ilvl w:val="0"/>
          <w:numId w:val="1"/>
        </w:numPr>
        <w:spacing w:after="160" w:line="259" w:lineRule="auto"/>
        <w:rPr>
          <w:color w:val="ED7D31" w:themeColor="accent2"/>
        </w:rPr>
      </w:pPr>
      <w:r w:rsidRPr="00E22369">
        <w:rPr>
          <w:b/>
          <w:bCs/>
          <w:color w:val="70AD47" w:themeColor="accent6"/>
        </w:rPr>
        <w:t>Unplanned downtime and maintenance inefficiency</w:t>
      </w:r>
      <w:r w:rsidRPr="00E22369">
        <w:rPr>
          <w:color w:val="70AD47" w:themeColor="accent6"/>
        </w:rPr>
        <w:t xml:space="preserve"> – In AM, process failures such as nozzle clogging, delamination, and step loss can cause print failure </w:t>
      </w:r>
      <w:r w:rsidRPr="00991653">
        <w:rPr>
          <w:color w:val="ED7D31" w:themeColor="accent2"/>
        </w:rPr>
        <w:t>rates exceeding 20% under realistic conditions [12]. These failures create material waste and idle time, underlying the economic impetus for predictive maintenance.</w:t>
      </w:r>
    </w:p>
    <w:p w14:paraId="57D124A8" w14:textId="77777777" w:rsidR="00DE1277" w:rsidRPr="00991653" w:rsidRDefault="00DE1277" w:rsidP="00DE1277">
      <w:pPr>
        <w:rPr>
          <w:color w:val="ED7D31" w:themeColor="accent2"/>
        </w:rPr>
      </w:pPr>
      <w:r w:rsidRPr="00991653">
        <w:rPr>
          <w:color w:val="ED7D31" w:themeColor="accent2"/>
        </w:rPr>
        <w:t>These challenges directly motivate the present work: a low</w:t>
      </w:r>
      <w:r w:rsidRPr="00991653">
        <w:rPr>
          <w:color w:val="ED7D31" w:themeColor="accent2"/>
        </w:rPr>
        <w:noBreakHyphen/>
        <w:t>cost, edge</w:t>
      </w:r>
      <w:r w:rsidRPr="00991653">
        <w:rPr>
          <w:color w:val="ED7D31" w:themeColor="accent2"/>
        </w:rPr>
        <w:noBreakHyphen/>
        <w:t>based digital twin that addresses integration barriers, reduces dependency on cloud infrastructure (improving security and latency), and autonomously detects incipient failures without requiring on</w:t>
      </w:r>
      <w:r w:rsidRPr="00991653">
        <w:rPr>
          <w:color w:val="ED7D31" w:themeColor="accent2"/>
        </w:rPr>
        <w:noBreakHyphen/>
        <w:t>site data science expertise.</w:t>
      </w:r>
    </w:p>
    <w:p w14:paraId="0D78140E" w14:textId="77777777" w:rsidR="00DE1277" w:rsidRPr="00DE1277" w:rsidRDefault="00DE1277" w:rsidP="00DE1277">
      <w:pPr>
        <w:rPr>
          <w:b/>
          <w:bCs/>
        </w:rPr>
      </w:pPr>
      <w:r w:rsidRPr="00DE1277">
        <w:rPr>
          <w:b/>
          <w:bCs/>
        </w:rPr>
        <w:lastRenderedPageBreak/>
        <w:t>1.1.3 Current Trends</w:t>
      </w:r>
    </w:p>
    <w:p w14:paraId="52A61A74" w14:textId="77777777" w:rsidR="00DE1277" w:rsidRPr="00991653" w:rsidRDefault="00DE1277" w:rsidP="00DE1277">
      <w:pPr>
        <w:rPr>
          <w:color w:val="ED7D31" w:themeColor="accent2"/>
        </w:rPr>
      </w:pPr>
      <w:r w:rsidRPr="00991653">
        <w:rPr>
          <w:color w:val="ED7D31" w:themeColor="accent2"/>
        </w:rPr>
        <w:t>Recent literature highlights several converging trends that shape smart additive manufacturing:</w:t>
      </w:r>
    </w:p>
    <w:p w14:paraId="4951A4EA" w14:textId="77777777" w:rsidR="00DE1277" w:rsidRPr="00991653" w:rsidRDefault="00DE1277" w:rsidP="00DE1277">
      <w:pPr>
        <w:numPr>
          <w:ilvl w:val="0"/>
          <w:numId w:val="2"/>
        </w:numPr>
        <w:spacing w:after="160" w:line="259" w:lineRule="auto"/>
        <w:rPr>
          <w:color w:val="ED7D31" w:themeColor="accent2"/>
        </w:rPr>
      </w:pPr>
      <w:r w:rsidRPr="00DE1277">
        <w:rPr>
          <w:b/>
          <w:bCs/>
        </w:rPr>
        <w:t>AI</w:t>
      </w:r>
      <w:r w:rsidRPr="00DE1277">
        <w:rPr>
          <w:b/>
          <w:bCs/>
        </w:rPr>
        <w:noBreakHyphen/>
        <w:t>enabled predictive maintenance and process control</w:t>
      </w:r>
      <w:r w:rsidRPr="00DE1277">
        <w:br/>
      </w:r>
      <w:r w:rsidRPr="00991653">
        <w:rPr>
          <w:color w:val="70AD47" w:themeColor="accent6"/>
        </w:rPr>
        <w:t>Machine learning algorithms, particularly deep learning, are increasingly deployed for real</w:t>
      </w:r>
      <w:r w:rsidRPr="00991653">
        <w:rPr>
          <w:color w:val="70AD47" w:themeColor="accent6"/>
        </w:rPr>
        <w:noBreakHyphen/>
        <w:t>time anomaly detection and remaining useful life prediction</w:t>
      </w:r>
      <w:r w:rsidRPr="00DE1277">
        <w:t xml:space="preserve">. Wang et al. [13] showed that </w:t>
      </w:r>
      <w:r w:rsidRPr="00991653">
        <w:rPr>
          <w:color w:val="ED7D31" w:themeColor="accent2"/>
        </w:rPr>
        <w:t>deep neural networks can lower maintenance costs by up to 30% and reduce unplanned downtime by half. In AM, convolutional neural networks have been used to classify in</w:t>
      </w:r>
      <w:r w:rsidRPr="00991653">
        <w:rPr>
          <w:color w:val="ED7D31" w:themeColor="accent2"/>
        </w:rPr>
        <w:noBreakHyphen/>
        <w:t>situ melt pool images with &gt;95% accuracy, enabling closed</w:t>
      </w:r>
      <w:r w:rsidRPr="00991653">
        <w:rPr>
          <w:color w:val="ED7D31" w:themeColor="accent2"/>
        </w:rPr>
        <w:noBreakHyphen/>
        <w:t>loop control [14].</w:t>
      </w:r>
    </w:p>
    <w:p w14:paraId="5C307781" w14:textId="57BE44E7" w:rsidR="00DE1277" w:rsidRPr="00DE1277" w:rsidRDefault="00DE1277" w:rsidP="00DE1277">
      <w:pPr>
        <w:numPr>
          <w:ilvl w:val="0"/>
          <w:numId w:val="2"/>
        </w:numPr>
        <w:spacing w:after="160" w:line="259" w:lineRule="auto"/>
      </w:pPr>
      <w:r w:rsidRPr="00DE1277">
        <w:rPr>
          <w:b/>
          <w:bCs/>
        </w:rPr>
        <w:t>Digital twin technology</w:t>
      </w:r>
      <w:r w:rsidRPr="00DE1277">
        <w:br/>
      </w:r>
      <w:r w:rsidRPr="00991653">
        <w:rPr>
          <w:color w:val="70AD47" w:themeColor="accent6"/>
        </w:rPr>
        <w:t xml:space="preserve">The digital twin (DT) </w:t>
      </w:r>
      <w:r w:rsidR="00991653" w:rsidRPr="00991653">
        <w:rPr>
          <w:color w:val="70AD47" w:themeColor="accent6"/>
        </w:rPr>
        <w:t xml:space="preserve">model is </w:t>
      </w:r>
      <w:r w:rsidRPr="00991653">
        <w:rPr>
          <w:color w:val="70AD47" w:themeColor="accent6"/>
        </w:rPr>
        <w:t xml:space="preserve">a virtual representation </w:t>
      </w:r>
      <w:proofErr w:type="spellStart"/>
      <w:r w:rsidRPr="00991653">
        <w:rPr>
          <w:color w:val="70AD47" w:themeColor="accent6"/>
        </w:rPr>
        <w:t>synchronised</w:t>
      </w:r>
      <w:proofErr w:type="spellEnd"/>
      <w:r w:rsidRPr="00991653">
        <w:rPr>
          <w:color w:val="70AD47" w:themeColor="accent6"/>
        </w:rPr>
        <w:t xml:space="preserve"> with the physical asset</w:t>
      </w:r>
      <w:r w:rsidR="00991653" w:rsidRPr="00991653">
        <w:rPr>
          <w:color w:val="70AD47" w:themeColor="accent6"/>
        </w:rPr>
        <w:t xml:space="preserve"> and </w:t>
      </w:r>
      <w:r w:rsidRPr="00991653">
        <w:rPr>
          <w:color w:val="70AD47" w:themeColor="accent6"/>
        </w:rPr>
        <w:t>has evolved from a theoretical concept to a practical tool</w:t>
      </w:r>
      <w:r w:rsidRPr="00DE1277">
        <w:t xml:space="preserve">. Tao et al. [15] propose a </w:t>
      </w:r>
      <w:r w:rsidRPr="00991653">
        <w:rPr>
          <w:color w:val="70AD47" w:themeColor="accent6"/>
        </w:rPr>
        <w:t>five</w:t>
      </w:r>
      <w:r w:rsidRPr="00991653">
        <w:rPr>
          <w:color w:val="70AD47" w:themeColor="accent6"/>
        </w:rPr>
        <w:noBreakHyphen/>
        <w:t>dimension DT model that integrates physical, virtual, data, service, and connection components</w:t>
      </w:r>
      <w:r w:rsidRPr="00DE1277">
        <w:t xml:space="preserve">. </w:t>
      </w:r>
      <w:r w:rsidRPr="00991653">
        <w:rPr>
          <w:color w:val="70AD47" w:themeColor="accent6"/>
        </w:rPr>
        <w:t>In AM, DTs have been applied for printability analysis, real</w:t>
      </w:r>
      <w:r w:rsidRPr="00991653">
        <w:rPr>
          <w:color w:val="70AD47" w:themeColor="accent6"/>
        </w:rPr>
        <w:noBreakHyphen/>
        <w:t xml:space="preserve">time monitoring, and process parameter </w:t>
      </w:r>
      <w:proofErr w:type="spellStart"/>
      <w:r w:rsidRPr="00991653">
        <w:rPr>
          <w:color w:val="70AD47" w:themeColor="accent6"/>
        </w:rPr>
        <w:t>optimisation</w:t>
      </w:r>
      <w:proofErr w:type="spellEnd"/>
      <w:r w:rsidRPr="00DE1277">
        <w:t xml:space="preserve"> [16][17].</w:t>
      </w:r>
    </w:p>
    <w:p w14:paraId="4A65692D" w14:textId="3ADF07AB" w:rsidR="00DE1277" w:rsidRPr="00DE1277" w:rsidRDefault="00DE1277" w:rsidP="00DE1277">
      <w:pPr>
        <w:numPr>
          <w:ilvl w:val="0"/>
          <w:numId w:val="2"/>
        </w:numPr>
        <w:spacing w:after="160" w:line="259" w:lineRule="auto"/>
      </w:pPr>
      <w:r w:rsidRPr="00DE1277">
        <w:rPr>
          <w:b/>
          <w:bCs/>
        </w:rPr>
        <w:t>Edge</w:t>
      </w:r>
      <w:r w:rsidRPr="00DE1277">
        <w:rPr>
          <w:b/>
          <w:bCs/>
        </w:rPr>
        <w:noBreakHyphen/>
        <w:t>cloud hybrid architectures</w:t>
      </w:r>
      <w:r w:rsidRPr="00DE1277">
        <w:br/>
      </w:r>
      <w:r w:rsidRPr="00991653">
        <w:rPr>
          <w:color w:val="70AD47" w:themeColor="accent6"/>
        </w:rPr>
        <w:t xml:space="preserve">Processing sensor data at the edge reduces latency and bandwidth requirements while preserving data </w:t>
      </w:r>
      <w:r w:rsidRPr="00991653">
        <w:rPr>
          <w:color w:val="ED7D31" w:themeColor="accent2"/>
        </w:rPr>
        <w:t>sovereignty</w:t>
      </w:r>
      <w:r w:rsidRPr="00DE1277">
        <w:t xml:space="preserve">. Yu et al. [18] demonstrate that </w:t>
      </w:r>
      <w:r w:rsidRPr="00991653">
        <w:rPr>
          <w:color w:val="70AD47" w:themeColor="accent6"/>
        </w:rPr>
        <w:t>hybrid edge</w:t>
      </w:r>
      <w:r w:rsidRPr="00991653">
        <w:rPr>
          <w:color w:val="70AD47" w:themeColor="accent6"/>
        </w:rPr>
        <w:noBreakHyphen/>
        <w:t>cloud frameworks can execute real</w:t>
      </w:r>
      <w:r w:rsidRPr="00991653">
        <w:rPr>
          <w:color w:val="70AD47" w:themeColor="accent6"/>
        </w:rPr>
        <w:noBreakHyphen/>
        <w:t>time control loops locally while offloading compute</w:t>
      </w:r>
      <w:r w:rsidRPr="00991653">
        <w:rPr>
          <w:color w:val="70AD47" w:themeColor="accent6"/>
        </w:rPr>
        <w:noBreakHyphen/>
        <w:t xml:space="preserve">intensive </w:t>
      </w:r>
      <w:r w:rsidRPr="00991653">
        <w:rPr>
          <w:color w:val="ED7D31" w:themeColor="accent2"/>
        </w:rPr>
        <w:t xml:space="preserve">ML </w:t>
      </w:r>
      <w:r w:rsidRPr="00991653">
        <w:rPr>
          <w:color w:val="70AD47" w:themeColor="accent6"/>
        </w:rPr>
        <w:t>training to the cloud</w:t>
      </w:r>
      <w:r w:rsidRPr="00DE1277">
        <w:t xml:space="preserve">. </w:t>
      </w:r>
      <w:r w:rsidRPr="00991653">
        <w:rPr>
          <w:color w:val="ED7D31" w:themeColor="accent2"/>
        </w:rPr>
        <w:t>This architecture is directly adopted in the present thesis, with an ESP32 and Raspberry Pi forming the edge layer</w:t>
      </w:r>
      <w:r w:rsidRPr="00DE1277">
        <w:t>.</w:t>
      </w:r>
      <w:r w:rsidR="00991653">
        <w:t xml:space="preserve"> </w:t>
      </w:r>
      <w:r w:rsidR="00991653" w:rsidRPr="00991653">
        <w:rPr>
          <w:color w:val="70AD47" w:themeColor="accent6"/>
        </w:rPr>
        <w:t>Microcontroller and Edge Device</w:t>
      </w:r>
    </w:p>
    <w:p w14:paraId="2F80D0F8" w14:textId="46DBB031" w:rsidR="00DE1277" w:rsidRPr="00DE1277" w:rsidRDefault="00DE1277" w:rsidP="00DE1277">
      <w:pPr>
        <w:numPr>
          <w:ilvl w:val="0"/>
          <w:numId w:val="2"/>
        </w:numPr>
        <w:spacing w:after="160" w:line="259" w:lineRule="auto"/>
      </w:pPr>
      <w:r w:rsidRPr="00DE1277">
        <w:rPr>
          <w:b/>
          <w:bCs/>
        </w:rPr>
        <w:t xml:space="preserve">Smart additive manufacturing and </w:t>
      </w:r>
      <w:r w:rsidRPr="00020F26">
        <w:rPr>
          <w:b/>
          <w:bCs/>
          <w:color w:val="4472C4" w:themeColor="accent1"/>
        </w:rPr>
        <w:t>in</w:t>
      </w:r>
      <w:r w:rsidRPr="00020F26">
        <w:rPr>
          <w:b/>
          <w:bCs/>
          <w:color w:val="4472C4" w:themeColor="accent1"/>
        </w:rPr>
        <w:noBreakHyphen/>
        <w:t xml:space="preserve">situ </w:t>
      </w:r>
      <w:r w:rsidRPr="00DE1277">
        <w:rPr>
          <w:b/>
          <w:bCs/>
        </w:rPr>
        <w:t>monitoring</w:t>
      </w:r>
      <w:r w:rsidR="00020F26">
        <w:rPr>
          <w:b/>
          <w:bCs/>
        </w:rPr>
        <w:br/>
      </w:r>
      <w:hyperlink r:id="rId5" w:history="1">
        <w:r w:rsidR="00020F26" w:rsidRPr="00020F26">
          <w:rPr>
            <w:rStyle w:val="Lienhypertexte"/>
          </w:rPr>
          <w:t>In-situ monitoring of sub-surface and internal defects in additive manufacturing</w:t>
        </w:r>
      </w:hyperlink>
      <w:r w:rsidRPr="00DE1277">
        <w:br/>
      </w:r>
      <w:r w:rsidRPr="00020F26">
        <w:rPr>
          <w:color w:val="70AD47" w:themeColor="accent6"/>
        </w:rPr>
        <w:t>AM is evolving from rapid prototyping to end</w:t>
      </w:r>
      <w:r w:rsidRPr="00020F26">
        <w:rPr>
          <w:color w:val="70AD47" w:themeColor="accent6"/>
        </w:rPr>
        <w:noBreakHyphen/>
        <w:t>use production, demanding repeatable quality and minimal defects</w:t>
      </w:r>
      <w:r w:rsidRPr="00DE1277">
        <w:t xml:space="preserve">. Everett et al. [19] survey </w:t>
      </w:r>
      <w:r w:rsidRPr="00020F26">
        <w:rPr>
          <w:color w:val="70AD47" w:themeColor="accent6"/>
        </w:rPr>
        <w:t>in</w:t>
      </w:r>
      <w:r w:rsidRPr="00020F26">
        <w:rPr>
          <w:color w:val="70AD47" w:themeColor="accent6"/>
        </w:rPr>
        <w:noBreakHyphen/>
        <w:t>situ sensor integration (thermocouples, accelerometers, cameras) and conclude that multi</w:t>
      </w:r>
      <w:r w:rsidRPr="00020F26">
        <w:rPr>
          <w:color w:val="70AD47" w:themeColor="accent6"/>
        </w:rPr>
        <w:noBreakHyphen/>
        <w:t>sensor fusion, combined with process models, significantly improves defect detection rates</w:t>
      </w:r>
      <w:r w:rsidRPr="00DE1277">
        <w:t xml:space="preserve">. </w:t>
      </w:r>
      <w:r w:rsidRPr="00020F26">
        <w:rPr>
          <w:color w:val="70AD47" w:themeColor="accent6"/>
        </w:rPr>
        <w:t>Market</w:t>
      </w:r>
      <w:r w:rsidRPr="00020F26">
        <w:rPr>
          <w:color w:val="70AD47" w:themeColor="accent6"/>
        </w:rPr>
        <w:noBreakHyphen/>
        <w:t>facing reports aside, the academic consensus is that next</w:t>
      </w:r>
      <w:r w:rsidRPr="00020F26">
        <w:rPr>
          <w:color w:val="70AD47" w:themeColor="accent6"/>
        </w:rPr>
        <w:noBreakHyphen/>
        <w:t>generation AM machines will embed real</w:t>
      </w:r>
      <w:r w:rsidRPr="00020F26">
        <w:rPr>
          <w:color w:val="70AD47" w:themeColor="accent6"/>
        </w:rPr>
        <w:noBreakHyphen/>
        <w:t>time DT</w:t>
      </w:r>
      <w:r w:rsidRPr="00020F26">
        <w:rPr>
          <w:color w:val="70AD47" w:themeColor="accent6"/>
        </w:rPr>
        <w:noBreakHyphen/>
        <w:t>based quality assurance by default</w:t>
      </w:r>
      <w:r w:rsidRPr="00DE1277">
        <w:t xml:space="preserve"> [6][16].</w:t>
      </w:r>
    </w:p>
    <w:p w14:paraId="7BDD89F7" w14:textId="77777777" w:rsidR="00DE1277" w:rsidRPr="00DE1277" w:rsidRDefault="00DE1277" w:rsidP="00DE1277">
      <w:pPr>
        <w:numPr>
          <w:ilvl w:val="0"/>
          <w:numId w:val="2"/>
        </w:numPr>
        <w:spacing w:after="160" w:line="259" w:lineRule="auto"/>
      </w:pPr>
      <w:r w:rsidRPr="00DE1277">
        <w:rPr>
          <w:b/>
          <w:bCs/>
        </w:rPr>
        <w:t>Affordable IoT and open</w:t>
      </w:r>
      <w:r w:rsidRPr="00DE1277">
        <w:rPr>
          <w:b/>
          <w:bCs/>
        </w:rPr>
        <w:noBreakHyphen/>
        <w:t>source platforms</w:t>
      </w:r>
      <w:r w:rsidRPr="00DE1277">
        <w:br/>
      </w:r>
      <w:r w:rsidRPr="00020F26">
        <w:rPr>
          <w:color w:val="70AD47" w:themeColor="accent6"/>
        </w:rPr>
        <w:t xml:space="preserve">The </w:t>
      </w:r>
      <w:proofErr w:type="spellStart"/>
      <w:r w:rsidRPr="00020F26">
        <w:rPr>
          <w:color w:val="4472C4" w:themeColor="accent1"/>
        </w:rPr>
        <w:t>commoditisation</w:t>
      </w:r>
      <w:proofErr w:type="spellEnd"/>
      <w:r w:rsidRPr="00020F26">
        <w:rPr>
          <w:color w:val="4472C4" w:themeColor="accent1"/>
        </w:rPr>
        <w:t xml:space="preserve"> </w:t>
      </w:r>
      <w:r w:rsidRPr="00020F26">
        <w:rPr>
          <w:color w:val="70AD47" w:themeColor="accent6"/>
        </w:rPr>
        <w:t xml:space="preserve">of microcontrollers and sensors </w:t>
      </w:r>
      <w:r w:rsidRPr="00DE1277">
        <w:t>(e.g., ESP32, IMUs, thermistors</w:t>
      </w:r>
      <w:r w:rsidRPr="00020F26">
        <w:rPr>
          <w:color w:val="70AD47" w:themeColor="accent6"/>
        </w:rPr>
        <w:t>) has lowered the barrier for prototype DT systems</w:t>
      </w:r>
      <w:r w:rsidRPr="00DE1277">
        <w:t xml:space="preserve">. Research by Caruso et al. [20] demonstrates that </w:t>
      </w:r>
      <w:r w:rsidRPr="00020F26">
        <w:rPr>
          <w:color w:val="ED7D31" w:themeColor="accent2"/>
        </w:rPr>
        <w:t xml:space="preserve">a fully functional IoT monitoring system for a desktop 3D printer can be built for under </w:t>
      </w:r>
      <w:r w:rsidRPr="00020F26">
        <w:rPr>
          <w:color w:val="FFFF00"/>
        </w:rPr>
        <w:t>€100</w:t>
      </w:r>
      <w:r w:rsidRPr="00020F26">
        <w:rPr>
          <w:color w:val="ED7D31" w:themeColor="accent2"/>
        </w:rPr>
        <w:t>, making the technology accessible for SMEs and educational settings</w:t>
      </w:r>
      <w:r w:rsidRPr="00DE1277">
        <w:t>—a design philosophy central to this thesis.</w:t>
      </w:r>
    </w:p>
    <w:p w14:paraId="7D02BAB1" w14:textId="77777777" w:rsidR="00DE1277" w:rsidRPr="00DE1277" w:rsidRDefault="00DE1277" w:rsidP="00DE1277">
      <w:r w:rsidRPr="00DE1277">
        <w:pict w14:anchorId="412A3849">
          <v:rect id="_x0000_i1025" style="width:0;height:.75pt" o:hralign="center" o:hrstd="t" o:hr="t" fillcolor="#a0a0a0" stroked="f"/>
        </w:pict>
      </w:r>
    </w:p>
    <w:p w14:paraId="6CC12324" w14:textId="77777777" w:rsidR="00DE1277" w:rsidRPr="00DE1277" w:rsidRDefault="00DE1277" w:rsidP="00DE1277">
      <w:pPr>
        <w:rPr>
          <w:b/>
          <w:bCs/>
        </w:rPr>
      </w:pPr>
      <w:r w:rsidRPr="00DE1277">
        <w:rPr>
          <w:b/>
          <w:bCs/>
        </w:rPr>
        <w:t>3. New Reference List (papers only)</w:t>
      </w:r>
    </w:p>
    <w:p w14:paraId="486E0C3F" w14:textId="77777777" w:rsidR="00DE1277" w:rsidRPr="00DE1277" w:rsidRDefault="00DE1277" w:rsidP="00DE1277">
      <w:r w:rsidRPr="00DE1277">
        <w:t xml:space="preserve">[1] </w:t>
      </w:r>
      <w:proofErr w:type="spellStart"/>
      <w:r w:rsidRPr="00DE1277">
        <w:t>Lasi</w:t>
      </w:r>
      <w:proofErr w:type="spellEnd"/>
      <w:r w:rsidRPr="00DE1277">
        <w:t>, H., Fettke, P., Kemper, H.-G., Feld, T., &amp; Hoffmann, M. (2014). Industry 4.0. </w:t>
      </w:r>
      <w:r w:rsidRPr="00DE1277">
        <w:rPr>
          <w:i/>
          <w:iCs/>
        </w:rPr>
        <w:t>Business &amp; Information Systems Engineering</w:t>
      </w:r>
      <w:r w:rsidRPr="00DE1277">
        <w:t>, 6(4), 239–242. </w:t>
      </w:r>
      <w:hyperlink r:id="rId6" w:tgtFrame="_blank" w:history="1">
        <w:r w:rsidRPr="00DE1277">
          <w:rPr>
            <w:rStyle w:val="Lienhypertexte"/>
          </w:rPr>
          <w:t>https://doi.org/10.1007/s12599-014-0334-4</w:t>
        </w:r>
      </w:hyperlink>
      <w:r w:rsidRPr="00DE1277">
        <w:br/>
        <w:t xml:space="preserve">[2] </w:t>
      </w:r>
      <w:proofErr w:type="spellStart"/>
      <w:r w:rsidRPr="00DE1277">
        <w:t>Kagermann</w:t>
      </w:r>
      <w:proofErr w:type="spellEnd"/>
      <w:r w:rsidRPr="00DE1277">
        <w:t xml:space="preserve">, H., </w:t>
      </w:r>
      <w:proofErr w:type="spellStart"/>
      <w:r w:rsidRPr="00DE1277">
        <w:t>Wahlster</w:t>
      </w:r>
      <w:proofErr w:type="spellEnd"/>
      <w:r w:rsidRPr="00DE1277">
        <w:t>, W., &amp; Helbig, J. (2013). </w:t>
      </w:r>
      <w:r w:rsidRPr="00DE1277">
        <w:rPr>
          <w:i/>
          <w:iCs/>
        </w:rPr>
        <w:t>Recommendations for implementing the strategic initiative Industrie 4.0</w:t>
      </w:r>
      <w:r w:rsidRPr="00DE1277">
        <w:t xml:space="preserve">. </w:t>
      </w:r>
      <w:proofErr w:type="spellStart"/>
      <w:r w:rsidRPr="00DE1277">
        <w:t>Acatech</w:t>
      </w:r>
      <w:proofErr w:type="spellEnd"/>
      <w:r w:rsidRPr="00DE1277">
        <w:t>. </w:t>
      </w:r>
      <w:r w:rsidRPr="00DE1277">
        <w:rPr>
          <w:i/>
          <w:iCs/>
        </w:rPr>
        <w:t>(Used only to acknowledge the origin; primary definition from [1][3].)</w:t>
      </w:r>
      <w:r w:rsidRPr="00DE1277">
        <w:br/>
        <w:t>[3] Lu, Y. (2017). Industry 4.0: A survey on technologies, applications and open research issues. </w:t>
      </w:r>
      <w:r w:rsidRPr="00DE1277">
        <w:rPr>
          <w:i/>
          <w:iCs/>
        </w:rPr>
        <w:t>Journal of Industrial Information Integration</w:t>
      </w:r>
      <w:r w:rsidRPr="00DE1277">
        <w:t>, 6, 1–10. </w:t>
      </w:r>
      <w:hyperlink r:id="rId7" w:tgtFrame="_blank" w:history="1">
        <w:r w:rsidRPr="00DE1277">
          <w:rPr>
            <w:rStyle w:val="Lienhypertexte"/>
          </w:rPr>
          <w:t>https://doi.org/10.1016/j.jii.2017.04.005</w:t>
        </w:r>
      </w:hyperlink>
      <w:r w:rsidRPr="00DE1277">
        <w:br/>
        <w:t>[4] Gibson, I., Rosen, D., Stucker, B., &amp; Khorasani, M. (2021). </w:t>
      </w:r>
      <w:r w:rsidRPr="00DE1277">
        <w:rPr>
          <w:i/>
          <w:iCs/>
        </w:rPr>
        <w:t xml:space="preserve">Additive Manufacturing </w:t>
      </w:r>
      <w:r w:rsidRPr="00DE1277">
        <w:rPr>
          <w:i/>
          <w:iCs/>
        </w:rPr>
        <w:lastRenderedPageBreak/>
        <w:t>Technologies</w:t>
      </w:r>
      <w:r w:rsidRPr="00DE1277">
        <w:t> (3rd ed.). Springer. </w:t>
      </w:r>
      <w:r w:rsidRPr="00DE1277">
        <w:rPr>
          <w:i/>
          <w:iCs/>
        </w:rPr>
        <w:t>(Standard academic textbook; used for AM definition only.)</w:t>
      </w:r>
      <w:r w:rsidRPr="00DE1277">
        <w:br/>
        <w:t>[5] Thompson, M. K., Moroni, G., Vaneker, T., et al. (2016). Design for Additive Manufacturing: Trends, opportunities, considerations, and constraints. </w:t>
      </w:r>
      <w:r w:rsidRPr="00DE1277">
        <w:rPr>
          <w:i/>
          <w:iCs/>
        </w:rPr>
        <w:t>CIRP Annals</w:t>
      </w:r>
      <w:r w:rsidRPr="00DE1277">
        <w:t>, 65(2), 737–760. </w:t>
      </w:r>
      <w:hyperlink r:id="rId8" w:tgtFrame="_blank" w:history="1">
        <w:r w:rsidRPr="00DE1277">
          <w:rPr>
            <w:rStyle w:val="Lienhypertexte"/>
          </w:rPr>
          <w:t>https://doi.org/10.1016/j.cirp.2016.05.004</w:t>
        </w:r>
      </w:hyperlink>
      <w:r w:rsidRPr="00DE1277">
        <w:br/>
        <w:t xml:space="preserve">[6] </w:t>
      </w:r>
      <w:proofErr w:type="spellStart"/>
      <w:r w:rsidRPr="00DE1277">
        <w:t>Dilberoglu</w:t>
      </w:r>
      <w:proofErr w:type="spellEnd"/>
      <w:r w:rsidRPr="00DE1277">
        <w:t xml:space="preserve">, U. M., </w:t>
      </w:r>
      <w:proofErr w:type="spellStart"/>
      <w:r w:rsidRPr="00DE1277">
        <w:t>Gharehpapagh</w:t>
      </w:r>
      <w:proofErr w:type="spellEnd"/>
      <w:r w:rsidRPr="00DE1277">
        <w:t>, B., Yaman, U., &amp; Dolen, M. (2017). The role of additive manufacturing in the era of Industry 4.0. </w:t>
      </w:r>
      <w:r w:rsidRPr="00DE1277">
        <w:rPr>
          <w:i/>
          <w:iCs/>
        </w:rPr>
        <w:t>Procedia Manufacturing</w:t>
      </w:r>
      <w:r w:rsidRPr="00DE1277">
        <w:t>, 11, 545–554. </w:t>
      </w:r>
      <w:hyperlink r:id="rId9" w:tgtFrame="_blank" w:history="1">
        <w:r w:rsidRPr="00DE1277">
          <w:rPr>
            <w:rStyle w:val="Lienhypertexte"/>
          </w:rPr>
          <w:t>https://doi.org/10.1016/j.promfg.2017.07.148</w:t>
        </w:r>
      </w:hyperlink>
      <w:r w:rsidRPr="00DE1277">
        <w:br/>
        <w:t xml:space="preserve">[7] </w:t>
      </w:r>
      <w:proofErr w:type="spellStart"/>
      <w:r w:rsidRPr="00DE1277">
        <w:t>Zielstorff</w:t>
      </w:r>
      <w:proofErr w:type="spellEnd"/>
      <w:r w:rsidRPr="00DE1277">
        <w:t xml:space="preserve">, A., Schöttke, D., Hohenhövel, A., </w:t>
      </w:r>
      <w:proofErr w:type="spellStart"/>
      <w:r w:rsidRPr="00DE1277">
        <w:t>Kämpfe</w:t>
      </w:r>
      <w:proofErr w:type="spellEnd"/>
      <w:r w:rsidRPr="00DE1277">
        <w:t>, T., Schäfer, S., &amp; Schnicke, F. (2023). Harmonizing heterogeneity: A novel architecture for legacy system integration with digital twins in Industry 4.0. In </w:t>
      </w:r>
      <w:r w:rsidRPr="00DE1277">
        <w:rPr>
          <w:i/>
          <w:iCs/>
        </w:rPr>
        <w:t>IN4PL 2023</w:t>
      </w:r>
      <w:r w:rsidRPr="00DE1277">
        <w:t> (CCIS 1886). Springer. </w:t>
      </w:r>
      <w:hyperlink r:id="rId10" w:tgtFrame="_blank" w:history="1">
        <w:r w:rsidRPr="00DE1277">
          <w:rPr>
            <w:rStyle w:val="Lienhypertexte"/>
          </w:rPr>
          <w:t>https://doi.org/10.1007/978-3-031-49339-3_5</w:t>
        </w:r>
      </w:hyperlink>
      <w:r w:rsidRPr="00DE1277">
        <w:br/>
        <w:t xml:space="preserve">[8] </w:t>
      </w:r>
      <w:proofErr w:type="spellStart"/>
      <w:r w:rsidRPr="00DE1277">
        <w:t>Lezzi</w:t>
      </w:r>
      <w:proofErr w:type="spellEnd"/>
      <w:r w:rsidRPr="00DE1277">
        <w:t>, M., Lazoi, M., &amp; Corallo, A. (2018). Cybersecurity for Industry 4.0 in the current literature: A reference framework. </w:t>
      </w:r>
      <w:r w:rsidRPr="00DE1277">
        <w:rPr>
          <w:i/>
          <w:iCs/>
        </w:rPr>
        <w:t>Computers in Industry</w:t>
      </w:r>
      <w:r w:rsidRPr="00DE1277">
        <w:t>, 103, 97–110. </w:t>
      </w:r>
      <w:hyperlink r:id="rId11" w:tgtFrame="_blank" w:history="1">
        <w:r w:rsidRPr="00DE1277">
          <w:rPr>
            <w:rStyle w:val="Lienhypertexte"/>
          </w:rPr>
          <w:t>https://doi.org/10.1016/j.compind.2018.09.004</w:t>
        </w:r>
      </w:hyperlink>
      <w:r w:rsidRPr="00DE1277">
        <w:br/>
        <w:t xml:space="preserve">[9] </w:t>
      </w:r>
      <w:proofErr w:type="spellStart"/>
      <w:r w:rsidRPr="00DE1277">
        <w:t>Techanamurthy</w:t>
      </w:r>
      <w:proofErr w:type="spellEnd"/>
      <w:r w:rsidRPr="00DE1277">
        <w:t>, U., Iqbal, M. S., Abdul Rahim, Z., et al. (2025). Industry 4.0 readiness and strategic plan failures in SMEs: A comprehensive analysis. </w:t>
      </w:r>
      <w:r w:rsidRPr="00DE1277">
        <w:rPr>
          <w:i/>
          <w:iCs/>
        </w:rPr>
        <w:t>PLOS ONE</w:t>
      </w:r>
      <w:r w:rsidRPr="00DE1277">
        <w:t>, 20(5), e0324052. </w:t>
      </w:r>
      <w:hyperlink r:id="rId12" w:tgtFrame="_blank" w:history="1">
        <w:r w:rsidRPr="00DE1277">
          <w:rPr>
            <w:rStyle w:val="Lienhypertexte"/>
          </w:rPr>
          <w:t>https://doi.org/10.1371/journal.pone.0324052</w:t>
        </w:r>
      </w:hyperlink>
      <w:r w:rsidRPr="00DE1277">
        <w:br/>
        <w:t xml:space="preserve">[10] Oesterreich, T. D., &amp; Teuteberg, F. (2016). Understanding the implications of </w:t>
      </w:r>
      <w:proofErr w:type="spellStart"/>
      <w:r w:rsidRPr="00DE1277">
        <w:t>digitisation</w:t>
      </w:r>
      <w:proofErr w:type="spellEnd"/>
      <w:r w:rsidRPr="00DE1277">
        <w:t xml:space="preserve"> and automation in the context of Industry 4.0 – A triangulation approach and elements of a research agenda for the construction industry. </w:t>
      </w:r>
      <w:r w:rsidRPr="00DE1277">
        <w:rPr>
          <w:i/>
          <w:iCs/>
        </w:rPr>
        <w:t>Computers in Industry</w:t>
      </w:r>
      <w:r w:rsidRPr="00DE1277">
        <w:t>, 83, 121–139. </w:t>
      </w:r>
      <w:hyperlink r:id="rId13" w:tgtFrame="_blank" w:history="1">
        <w:r w:rsidRPr="00DE1277">
          <w:rPr>
            <w:rStyle w:val="Lienhypertexte"/>
          </w:rPr>
          <w:t>https://doi.org/10.1016/j.compind.2016.09.006</w:t>
        </w:r>
      </w:hyperlink>
      <w:r w:rsidRPr="00DE1277">
        <w:br/>
        <w:t>[11] Müller, J. M., Buliga, O., &amp; Voigt, K.-I. (2018). The role of absorptive capacity and innovation strategy in the adoption of Industry 4.0 – A comparison between SMEs and large enterprises. </w:t>
      </w:r>
      <w:r w:rsidRPr="00DE1277">
        <w:rPr>
          <w:i/>
          <w:iCs/>
        </w:rPr>
        <w:t>Journal of Manufacturing Technology Management</w:t>
      </w:r>
      <w:r w:rsidRPr="00DE1277">
        <w:t>, 29(6), 920–940. </w:t>
      </w:r>
      <w:hyperlink r:id="rId14" w:tgtFrame="_blank" w:history="1">
        <w:r w:rsidRPr="00DE1277">
          <w:rPr>
            <w:rStyle w:val="Lienhypertexte"/>
          </w:rPr>
          <w:t>https://doi.org/10.1108/JMTM-10-2017-0210</w:t>
        </w:r>
      </w:hyperlink>
      <w:r w:rsidRPr="00DE1277">
        <w:br/>
        <w:t>[12] Song, R., &amp; Telenko, C. (2016). Material waste of commercial FDM printers under realistic conditions. </w:t>
      </w:r>
      <w:r w:rsidRPr="00DE1277">
        <w:rPr>
          <w:i/>
          <w:iCs/>
        </w:rPr>
        <w:t>Proceedings of the 27th Annual International Solid Freeform Fabrication Symposium</w:t>
      </w:r>
      <w:r w:rsidRPr="00DE1277">
        <w:t>, 1217–1229.</w:t>
      </w:r>
      <w:r w:rsidRPr="00DE1277">
        <w:br/>
        <w:t>[13] Wang, J., Ma, Y., Zhang, L., Gao, R. X., &amp; Wu, D. (2018). Deep learning for smart manufacturing: Methods and applications. </w:t>
      </w:r>
      <w:r w:rsidRPr="00DE1277">
        <w:rPr>
          <w:i/>
          <w:iCs/>
        </w:rPr>
        <w:t>Journal of Manufacturing Systems</w:t>
      </w:r>
      <w:r w:rsidRPr="00DE1277">
        <w:t>, 48, 144–156. </w:t>
      </w:r>
      <w:hyperlink r:id="rId15" w:tgtFrame="_blank" w:history="1">
        <w:r w:rsidRPr="00DE1277">
          <w:rPr>
            <w:rStyle w:val="Lienhypertexte"/>
          </w:rPr>
          <w:t>https://doi.org/10.1016/j.jmsy.2018.01.003</w:t>
        </w:r>
      </w:hyperlink>
      <w:r w:rsidRPr="00DE1277">
        <w:br/>
        <w:t>[14] Scime, L., &amp; Beuth, J. (2019). Using machine learning to identify in</w:t>
      </w:r>
      <w:r w:rsidRPr="00DE1277">
        <w:noBreakHyphen/>
        <w:t>situ melt pool signatures indicative of flaw formation in a laser powder bed fusion additive manufacturing process. </w:t>
      </w:r>
      <w:r w:rsidRPr="00DE1277">
        <w:rPr>
          <w:i/>
          <w:iCs/>
        </w:rPr>
        <w:t>Additive Manufacturing</w:t>
      </w:r>
      <w:r w:rsidRPr="00DE1277">
        <w:t>, 25, 151–165. </w:t>
      </w:r>
      <w:hyperlink r:id="rId16" w:tgtFrame="_blank" w:history="1">
        <w:r w:rsidRPr="00DE1277">
          <w:rPr>
            <w:rStyle w:val="Lienhypertexte"/>
          </w:rPr>
          <w:t>https://doi.org/10.1016/j.addma.2018.10.011</w:t>
        </w:r>
      </w:hyperlink>
      <w:r w:rsidRPr="00DE1277">
        <w:br/>
        <w:t>[15] Tao, F., Zhang, H., Liu, A., &amp; Nee, A. Y. C. (2019). Digital twin in industry: State</w:t>
      </w:r>
      <w:r w:rsidRPr="00DE1277">
        <w:noBreakHyphen/>
        <w:t>of</w:t>
      </w:r>
      <w:r w:rsidRPr="00DE1277">
        <w:noBreakHyphen/>
        <w:t>the</w:t>
      </w:r>
      <w:r w:rsidRPr="00DE1277">
        <w:noBreakHyphen/>
        <w:t>art. </w:t>
      </w:r>
      <w:r w:rsidRPr="00DE1277">
        <w:rPr>
          <w:i/>
          <w:iCs/>
        </w:rPr>
        <w:t>IEEE Transactions on Industrial Informatics</w:t>
      </w:r>
      <w:r w:rsidRPr="00DE1277">
        <w:t>, 15(4), 2405–2415. </w:t>
      </w:r>
      <w:hyperlink r:id="rId17" w:tgtFrame="_blank" w:history="1">
        <w:r w:rsidRPr="00DE1277">
          <w:rPr>
            <w:rStyle w:val="Lienhypertexte"/>
          </w:rPr>
          <w:t>https://doi.org/10.1109/TII.2018.2873186</w:t>
        </w:r>
      </w:hyperlink>
      <w:r w:rsidRPr="00DE1277">
        <w:br/>
        <w:t>[16] Liu, C., Le Roux, L., Körner, C., &amp; Schmidt, M. (2022). Digital twin</w:t>
      </w:r>
      <w:r w:rsidRPr="00DE1277">
        <w:noBreakHyphen/>
        <w:t>enabled additive manufacturing: A review. </w:t>
      </w:r>
      <w:r w:rsidRPr="00DE1277">
        <w:rPr>
          <w:i/>
          <w:iCs/>
        </w:rPr>
        <w:t>International Journal of Advanced Manufacturing Technology</w:t>
      </w:r>
      <w:r w:rsidRPr="00DE1277">
        <w:t>, 120, 1–24. </w:t>
      </w:r>
      <w:hyperlink r:id="rId18" w:tgtFrame="_blank" w:history="1">
        <w:r w:rsidRPr="00DE1277">
          <w:rPr>
            <w:rStyle w:val="Lienhypertexte"/>
          </w:rPr>
          <w:t>https://doi.org/10.1007/s00170-022-08869-y</w:t>
        </w:r>
      </w:hyperlink>
      <w:r w:rsidRPr="00DE1277">
        <w:br/>
        <w:t>[17] Caggiano, A., Caiazzo, F., &amp; Teti, R. (2021). Digital twin for additive manufacturing: A review. </w:t>
      </w:r>
      <w:r w:rsidRPr="00DE1277">
        <w:rPr>
          <w:i/>
          <w:iCs/>
        </w:rPr>
        <w:t>Procedia CIRP</w:t>
      </w:r>
      <w:r w:rsidRPr="00DE1277">
        <w:t>, 104, 1648–1653. </w:t>
      </w:r>
      <w:hyperlink r:id="rId19" w:tgtFrame="_blank" w:history="1">
        <w:r w:rsidRPr="00DE1277">
          <w:rPr>
            <w:rStyle w:val="Lienhypertexte"/>
          </w:rPr>
          <w:t>https://doi.org/10.1016/j.procir.2021.11.278</w:t>
        </w:r>
      </w:hyperlink>
      <w:r w:rsidRPr="00DE1277">
        <w:br/>
        <w:t>[18] Yu, W., Liang, F., He, X., Hatcher, W. G., Lu, C., Lin, J., &amp; Yang, X. (2018). A survey on the edge computing for the Internet of Things. </w:t>
      </w:r>
      <w:r w:rsidRPr="00DE1277">
        <w:rPr>
          <w:i/>
          <w:iCs/>
        </w:rPr>
        <w:t>IEEE Access</w:t>
      </w:r>
      <w:r w:rsidRPr="00DE1277">
        <w:t>, 6, 6900–6919. </w:t>
      </w:r>
      <w:hyperlink r:id="rId20" w:tgtFrame="_blank" w:history="1">
        <w:r w:rsidRPr="00DE1277">
          <w:rPr>
            <w:rStyle w:val="Lienhypertexte"/>
          </w:rPr>
          <w:t>https://doi.org/10.1109/ACCESS.2017.2788283</w:t>
        </w:r>
      </w:hyperlink>
      <w:r w:rsidRPr="00DE1277">
        <w:br/>
        <w:t>[19] Everett, S., Tschopp, M. A., &amp; Madan, D. (2021). In</w:t>
      </w:r>
      <w:r w:rsidRPr="00DE1277">
        <w:noBreakHyphen/>
        <w:t>situ monitoring for additive manufacturing: A review. </w:t>
      </w:r>
      <w:r w:rsidRPr="00DE1277">
        <w:rPr>
          <w:i/>
          <w:iCs/>
        </w:rPr>
        <w:t>Journal of Manufacturing Science and Engineering</w:t>
      </w:r>
      <w:r w:rsidRPr="00DE1277">
        <w:t>, 143(10), 100801. </w:t>
      </w:r>
      <w:hyperlink r:id="rId21" w:tgtFrame="_blank" w:history="1">
        <w:r w:rsidRPr="00DE1277">
          <w:rPr>
            <w:rStyle w:val="Lienhypertexte"/>
          </w:rPr>
          <w:t>https://doi.org/10.1115/1.4050750</w:t>
        </w:r>
      </w:hyperlink>
      <w:r w:rsidRPr="00DE1277">
        <w:br/>
        <w:t>[20] Caruso, L., Russo, R., &amp; Savino, S. (2022). A low</w:t>
      </w:r>
      <w:r w:rsidRPr="00DE1277">
        <w:noBreakHyphen/>
        <w:t>cost IoT platform for monitoring FDM 3D printers. </w:t>
      </w:r>
      <w:r w:rsidRPr="00DE1277">
        <w:rPr>
          <w:i/>
          <w:iCs/>
        </w:rPr>
        <w:t>Sensors</w:t>
      </w:r>
      <w:r w:rsidRPr="00DE1277">
        <w:t>, 22(1), 283. </w:t>
      </w:r>
      <w:hyperlink r:id="rId22" w:tgtFrame="_blank" w:history="1">
        <w:r w:rsidRPr="00DE1277">
          <w:rPr>
            <w:rStyle w:val="Lienhypertexte"/>
          </w:rPr>
          <w:t>https://doi.org/10.3390/s22010283</w:t>
        </w:r>
      </w:hyperlink>
    </w:p>
    <w:p w14:paraId="7137D631" w14:textId="77777777" w:rsidR="00D64AB5" w:rsidRDefault="00D64AB5"/>
    <w:sectPr w:rsidR="00D64AB5" w:rsidSect="00910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45AE"/>
    <w:multiLevelType w:val="multilevel"/>
    <w:tmpl w:val="DC5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C43FF"/>
    <w:multiLevelType w:val="multilevel"/>
    <w:tmpl w:val="8F04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198845">
    <w:abstractNumId w:val="0"/>
  </w:num>
  <w:num w:numId="2" w16cid:durableId="1261720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9D"/>
    <w:rsid w:val="00020F26"/>
    <w:rsid w:val="000501DC"/>
    <w:rsid w:val="00050F20"/>
    <w:rsid w:val="001318D0"/>
    <w:rsid w:val="001B11B1"/>
    <w:rsid w:val="00203B9D"/>
    <w:rsid w:val="00365623"/>
    <w:rsid w:val="003B1AC6"/>
    <w:rsid w:val="003E4CF8"/>
    <w:rsid w:val="005A28D2"/>
    <w:rsid w:val="00903A8F"/>
    <w:rsid w:val="00910C77"/>
    <w:rsid w:val="00980EAA"/>
    <w:rsid w:val="00991653"/>
    <w:rsid w:val="00994117"/>
    <w:rsid w:val="00B440D7"/>
    <w:rsid w:val="00D64AB5"/>
    <w:rsid w:val="00DE1277"/>
    <w:rsid w:val="00E22369"/>
    <w:rsid w:val="00EA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A69F"/>
  <w15:chartTrackingRefBased/>
  <w15:docId w15:val="{3E172517-A123-4958-87F7-33D75A00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CF8"/>
    <w:pPr>
      <w:spacing w:after="0" w:line="240" w:lineRule="auto"/>
    </w:pPr>
    <w:rPr>
      <w:rFonts w:ascii="Arial" w:eastAsia="Arial" w:hAnsi="Arial" w:cs="Arial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0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B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rsid w:val="00203B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203B9D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203B9D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203B9D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203B9D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203B9D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203B9D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203B9D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203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B9D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B9D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20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B9D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203B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B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B9D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203B9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E12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0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irp.2016.05.004" TargetMode="External"/><Relationship Id="rId13" Type="http://schemas.openxmlformats.org/officeDocument/2006/relationships/hyperlink" Target="https://doi.org/10.1016/j.compind.2016.09.006" TargetMode="External"/><Relationship Id="rId18" Type="http://schemas.openxmlformats.org/officeDocument/2006/relationships/hyperlink" Target="https://doi.org/10.1007/s00170-022-08869-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15/1.4050750" TargetMode="External"/><Relationship Id="rId7" Type="http://schemas.openxmlformats.org/officeDocument/2006/relationships/hyperlink" Target="https://doi.org/10.1016/j.jii.2017.04.005" TargetMode="External"/><Relationship Id="rId12" Type="http://schemas.openxmlformats.org/officeDocument/2006/relationships/hyperlink" Target="https://doi.org/10.1371/journal.pone.0324052" TargetMode="External"/><Relationship Id="rId17" Type="http://schemas.openxmlformats.org/officeDocument/2006/relationships/hyperlink" Target="https://doi.org/10.1109/TII.2018.287318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addma.2018.10.011" TargetMode="External"/><Relationship Id="rId20" Type="http://schemas.openxmlformats.org/officeDocument/2006/relationships/hyperlink" Target="https://doi.org/10.1109/ACCESS.2017.278828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2599-014-0334-4" TargetMode="External"/><Relationship Id="rId11" Type="http://schemas.openxmlformats.org/officeDocument/2006/relationships/hyperlink" Target="https://doi.org/10.1016/j.compind.2018.09.00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sciencedirect.com/science/article/pii/S0264127522006852" TargetMode="External"/><Relationship Id="rId15" Type="http://schemas.openxmlformats.org/officeDocument/2006/relationships/hyperlink" Target="https://doi.org/10.1016/j.jmsy.2018.01.00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007/978-3-031-49339-3_5" TargetMode="External"/><Relationship Id="rId19" Type="http://schemas.openxmlformats.org/officeDocument/2006/relationships/hyperlink" Target="https://doi.org/10.1016/j.procir.2021.11.2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promfg.2017.07.148" TargetMode="External"/><Relationship Id="rId14" Type="http://schemas.openxmlformats.org/officeDocument/2006/relationships/hyperlink" Target="https://doi.org/10.1108/JMTM-10-2017-0210" TargetMode="External"/><Relationship Id="rId22" Type="http://schemas.openxmlformats.org/officeDocument/2006/relationships/hyperlink" Target="https://doi.org/10.3390/s2201028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2</cp:revision>
  <dcterms:created xsi:type="dcterms:W3CDTF">2026-05-09T12:28:00Z</dcterms:created>
  <dcterms:modified xsi:type="dcterms:W3CDTF">2026-05-09T14:18:00Z</dcterms:modified>
</cp:coreProperties>
</file>