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0BC7" w14:textId="77777777" w:rsidR="00D05C3F" w:rsidRDefault="00000000">
      <w:pPr>
        <w:pStyle w:val="Titre2"/>
      </w:pPr>
      <w:r>
        <w:t>1.3  3D Printing Technologies</w:t>
      </w:r>
    </w:p>
    <w:p w14:paraId="41538DE9" w14:textId="77777777" w:rsidR="00D05C3F" w:rsidRDefault="00000000">
      <w:pPr>
        <w:spacing w:after="160" w:line="276" w:lineRule="auto"/>
        <w:jc w:val="both"/>
      </w:pPr>
      <w:r w:rsidRPr="00D875BF">
        <w:rPr>
          <w:color w:val="70AD47" w:themeColor="accent6"/>
        </w:rPr>
        <w:t>Additive manufacturing encompasses a broad family of processes distinguished by the physical mechanism used to build parts layer by layer. Three technologies are most prevalent in both research and industrial adoption: Fused Deposition Modeling (FDM), Stereolithography (SLA), and Selective Laser Sintering (SLS)</w:t>
      </w:r>
      <w:r>
        <w:t xml:space="preserve">. </w:t>
      </w:r>
      <w:r w:rsidRPr="00D875BF">
        <w:rPr>
          <w:color w:val="70AD47" w:themeColor="accent6"/>
        </w:rPr>
        <w:t xml:space="preserve">Each operates on a distinct physical principle, targets different material classes, and exhibits a characteristic set of strengths and limitations. </w:t>
      </w:r>
      <w:r w:rsidRPr="00D875BF">
        <w:rPr>
          <w:color w:val="ED7D31" w:themeColor="accent2"/>
        </w:rPr>
        <w:t>Because this thesis focuses on an FDM printer as the physical asset of the digital twin, understanding the full landscape of technologies — and the specific position of FDM within it — is essential contextual knowledge.</w:t>
      </w:r>
    </w:p>
    <w:p w14:paraId="3D77FB76" w14:textId="77777777" w:rsidR="00D05C3F" w:rsidRDefault="00000000">
      <w:pPr>
        <w:pStyle w:val="Titre3"/>
      </w:pPr>
      <w:r>
        <w:t>1.3.1  FDM (Fused Deposition Modeling)</w:t>
      </w:r>
    </w:p>
    <w:p w14:paraId="3EF6B336" w14:textId="70A823AB" w:rsidR="00D05C3F" w:rsidRPr="00D875BF" w:rsidRDefault="00000000" w:rsidP="00D875BF">
      <w:pPr>
        <w:spacing w:after="160" w:line="276" w:lineRule="auto"/>
        <w:jc w:val="both"/>
        <w:rPr>
          <w:color w:val="FFC000" w:themeColor="accent4"/>
        </w:rPr>
      </w:pPr>
      <w:r w:rsidRPr="00D875BF">
        <w:rPr>
          <w:color w:val="ED7D31" w:themeColor="accent2"/>
        </w:rPr>
        <w:t>FDM, also referred to as Fused Filament Fabrication (FFF)</w:t>
      </w:r>
      <w:r>
        <w:t xml:space="preserve">, </w:t>
      </w:r>
      <w:r w:rsidRPr="00D875BF">
        <w:rPr>
          <w:color w:val="70AD47" w:themeColor="accent6"/>
        </w:rPr>
        <w:t>is classified under the Material Extrusion category of additive manufacturing. Its operating principle is straightforward: a thermoplastic filament is fed from a spool into a heated extruder nozzle, where it is melted and selectively deposited onto a build platform in a precisely controlled path</w:t>
      </w:r>
      <w:r>
        <w:t xml:space="preserve">. </w:t>
      </w:r>
      <w:r w:rsidRPr="00D875BF">
        <w:rPr>
          <w:color w:val="70AD47" w:themeColor="accent6"/>
        </w:rPr>
        <w:t>As each layer solidifies through rapid cooling, the next layer is deposited on top, gradually building the three-dimensional object</w:t>
      </w:r>
      <w:r>
        <w:t xml:space="preserve"> </w:t>
      </w:r>
      <w:r>
        <w:rPr>
          <w:b/>
          <w:bCs/>
        </w:rPr>
        <w:t>[21]</w:t>
      </w:r>
      <w:r>
        <w:t xml:space="preserve">. </w:t>
      </w:r>
      <w:r w:rsidRPr="00D875BF">
        <w:rPr>
          <w:color w:val="70AD47" w:themeColor="accent6"/>
        </w:rPr>
        <w:t xml:space="preserve">The process is guided by a G-code file generated by slicing software </w:t>
      </w:r>
      <w:r w:rsidRPr="00D875BF">
        <w:rPr>
          <w:color w:val="ED7D31" w:themeColor="accent2"/>
        </w:rPr>
        <w:t xml:space="preserve">(e.g., </w:t>
      </w:r>
      <w:proofErr w:type="spellStart"/>
      <w:r w:rsidRPr="00D875BF">
        <w:rPr>
          <w:color w:val="ED7D31" w:themeColor="accent2"/>
        </w:rPr>
        <w:t>PrusaSlicer</w:t>
      </w:r>
      <w:proofErr w:type="spellEnd"/>
      <w:r w:rsidRPr="00D875BF">
        <w:rPr>
          <w:color w:val="ED7D31" w:themeColor="accent2"/>
        </w:rPr>
        <w:t>, Cura</w:t>
      </w:r>
      <w:r w:rsidRPr="00D875BF">
        <w:rPr>
          <w:color w:val="70AD47" w:themeColor="accent6"/>
        </w:rPr>
        <w:t>), which translates a CAD model into the printer's motion instructions</w:t>
      </w:r>
      <w:r>
        <w:t>.</w:t>
      </w:r>
      <w:r w:rsidR="00D875BF">
        <w:br/>
        <w:t>[</w:t>
      </w:r>
      <w:r w:rsidR="00D875BF">
        <w:rPr>
          <w:color w:val="FFC000" w:themeColor="accent4"/>
        </w:rPr>
        <w:t>Also</w:t>
      </w:r>
      <w:r w:rsidR="00D875BF" w:rsidRPr="00D875BF">
        <w:rPr>
          <w:color w:val="FFC000" w:themeColor="accent4"/>
        </w:rPr>
        <w:t xml:space="preserve"> ? : Digital model design is created in CAD (Computer-Aided Design) software, converted into G-code via CAM (Computer-Aided Manufacturing) software, and sent to the machine's controller. The controller interprets this code to drive electric motors that move the tools along specific axes (X,Z,Y)]</w:t>
      </w:r>
    </w:p>
    <w:p w14:paraId="1945F430" w14:textId="77777777" w:rsidR="00D05C3F" w:rsidRDefault="00000000">
      <w:pPr>
        <w:spacing w:after="160" w:line="276" w:lineRule="auto"/>
        <w:jc w:val="both"/>
      </w:pPr>
      <w:r w:rsidRPr="00D875BF">
        <w:rPr>
          <w:color w:val="ED7D31" w:themeColor="accent2"/>
        </w:rPr>
        <w:t xml:space="preserve">FDM was originally developed by Scott Crump and </w:t>
      </w:r>
      <w:proofErr w:type="spellStart"/>
      <w:r w:rsidRPr="00D875BF">
        <w:rPr>
          <w:color w:val="ED7D31" w:themeColor="accent2"/>
        </w:rPr>
        <w:t>commercialised</w:t>
      </w:r>
      <w:proofErr w:type="spellEnd"/>
      <w:r w:rsidRPr="00D875BF">
        <w:rPr>
          <w:color w:val="ED7D31" w:themeColor="accent2"/>
        </w:rPr>
        <w:t xml:space="preserve"> by Stratasys in the late 1980s under a patent that expired in 2009, triggering an explosion of open-source desktop systems </w:t>
      </w:r>
      <w:r w:rsidRPr="00D875BF">
        <w:rPr>
          <w:b/>
          <w:bCs/>
          <w:color w:val="ED7D31" w:themeColor="accent2"/>
        </w:rPr>
        <w:t>[22]</w:t>
      </w:r>
      <w:r w:rsidRPr="00D875BF">
        <w:rPr>
          <w:color w:val="ED7D31" w:themeColor="accent2"/>
        </w:rPr>
        <w:t xml:space="preserve">. Today, FDM is by far </w:t>
      </w:r>
      <w:r w:rsidRPr="00D875BF">
        <w:rPr>
          <w:b/>
          <w:bCs/>
          <w:color w:val="ED7D31" w:themeColor="accent2"/>
        </w:rPr>
        <w:t>the most widely used additive manufacturing technology</w:t>
      </w:r>
      <w:r w:rsidRPr="00D875BF">
        <w:rPr>
          <w:color w:val="ED7D31" w:themeColor="accent2"/>
        </w:rPr>
        <w:t xml:space="preserve"> globally, accounting for the largest share of installed machines across both industrial and consumer segments </w:t>
      </w:r>
      <w:r>
        <w:t>[23].</w:t>
      </w:r>
    </w:p>
    <w:p w14:paraId="2BB5998D" w14:textId="7CC6FCCC" w:rsidR="00D05C3F" w:rsidRPr="00D875BF" w:rsidRDefault="00000000">
      <w:pPr>
        <w:spacing w:after="160" w:line="276" w:lineRule="auto"/>
        <w:jc w:val="both"/>
        <w:rPr>
          <w:color w:val="FFC000" w:themeColor="accent4"/>
        </w:rPr>
      </w:pPr>
      <w:r w:rsidRPr="00D875BF">
        <w:rPr>
          <w:color w:val="70AD47" w:themeColor="accent6"/>
        </w:rPr>
        <w:t xml:space="preserve">The range of compatible thermoplastic materials is </w:t>
      </w:r>
      <w:r w:rsidRPr="00D875BF">
        <w:rPr>
          <w:color w:val="FFC000" w:themeColor="accent4"/>
        </w:rPr>
        <w:t>a</w:t>
      </w:r>
      <w:r w:rsidR="00D875BF" w:rsidRPr="00D875BF">
        <w:rPr>
          <w:color w:val="FFC000" w:themeColor="accent4"/>
        </w:rPr>
        <w:t>/</w:t>
      </w:r>
      <w:r w:rsidR="00D875BF">
        <w:rPr>
          <w:color w:val="70AD47" w:themeColor="accent6"/>
        </w:rPr>
        <w:t>the</w:t>
      </w:r>
      <w:r w:rsidRPr="00D875BF">
        <w:rPr>
          <w:color w:val="70AD47" w:themeColor="accent6"/>
        </w:rPr>
        <w:t xml:space="preserve"> key </w:t>
      </w:r>
      <w:r w:rsidRPr="00D875BF">
        <w:rPr>
          <w:color w:val="FFC000" w:themeColor="accent4"/>
        </w:rPr>
        <w:t xml:space="preserve">strength </w:t>
      </w:r>
      <w:r w:rsidRPr="00D875BF">
        <w:rPr>
          <w:color w:val="70AD47" w:themeColor="accent6"/>
        </w:rPr>
        <w:t>of FDM</w:t>
      </w:r>
      <w:r>
        <w:t xml:space="preserve">. </w:t>
      </w:r>
      <w:r w:rsidRPr="00D875BF">
        <w:rPr>
          <w:color w:val="70AD47" w:themeColor="accent6"/>
        </w:rPr>
        <w:t xml:space="preserve">Commonly used filaments include polylactic acid (PLA), acrylonitrile butadiene styrene (ABS), polyethylene terephthalate glycol (PETG), thermoplastic polyurethane (TPU), and nylon (PA). Engineering-grade filaments reinforced with carbon </w:t>
      </w:r>
      <w:proofErr w:type="spellStart"/>
      <w:r w:rsidRPr="00D875BF">
        <w:rPr>
          <w:color w:val="70AD47" w:themeColor="accent6"/>
        </w:rPr>
        <w:t>fibre</w:t>
      </w:r>
      <w:proofErr w:type="spellEnd"/>
      <w:r w:rsidRPr="00D875BF">
        <w:rPr>
          <w:color w:val="70AD47" w:themeColor="accent6"/>
        </w:rPr>
        <w:t xml:space="preserve">, glass </w:t>
      </w:r>
      <w:proofErr w:type="spellStart"/>
      <w:r w:rsidRPr="00D875BF">
        <w:rPr>
          <w:color w:val="70AD47" w:themeColor="accent6"/>
        </w:rPr>
        <w:t>fibre</w:t>
      </w:r>
      <w:proofErr w:type="spellEnd"/>
      <w:r w:rsidRPr="00D875BF">
        <w:rPr>
          <w:color w:val="70AD47" w:themeColor="accent6"/>
        </w:rPr>
        <w:t xml:space="preserve">, or metal particles extend FDM's mechanical performance toward functional end-use applications </w:t>
      </w:r>
      <w:r>
        <w:rPr>
          <w:b/>
          <w:bCs/>
        </w:rPr>
        <w:t>[24]</w:t>
      </w:r>
      <w:r>
        <w:t xml:space="preserve">. </w:t>
      </w:r>
      <w:r w:rsidRPr="00D875BF">
        <w:rPr>
          <w:color w:val="FFC000" w:themeColor="accent4"/>
        </w:rPr>
        <w:t>Material cost is relatively low, typically ranging from €20 to €50 per kilogram of filament.</w:t>
      </w:r>
    </w:p>
    <w:p w14:paraId="70D06DF7" w14:textId="3282A417" w:rsidR="00D05C3F" w:rsidRDefault="00000000" w:rsidP="001C3EC0">
      <w:pPr>
        <w:spacing w:after="160" w:line="276" w:lineRule="auto"/>
        <w:jc w:val="both"/>
      </w:pPr>
      <w:r w:rsidRPr="00D875BF">
        <w:rPr>
          <w:color w:val="70AD47" w:themeColor="accent6"/>
        </w:rPr>
        <w:t xml:space="preserve">The principal </w:t>
      </w:r>
      <w:r w:rsidRPr="00D875BF">
        <w:rPr>
          <w:b/>
          <w:bCs/>
          <w:color w:val="70AD47" w:themeColor="accent6"/>
        </w:rPr>
        <w:t>advantages</w:t>
      </w:r>
      <w:r w:rsidRPr="00D875BF">
        <w:rPr>
          <w:color w:val="70AD47" w:themeColor="accent6"/>
        </w:rPr>
        <w:t xml:space="preserve"> of FDM are</w:t>
      </w:r>
      <w:r>
        <w:t xml:space="preserve">: </w:t>
      </w:r>
      <w:r w:rsidRPr="00D875BF">
        <w:rPr>
          <w:color w:val="70AD47" w:themeColor="accent6"/>
        </w:rPr>
        <w:t>(</w:t>
      </w:r>
      <w:proofErr w:type="spellStart"/>
      <w:r w:rsidRPr="00D875BF">
        <w:rPr>
          <w:color w:val="70AD47" w:themeColor="accent6"/>
        </w:rPr>
        <w:t>i</w:t>
      </w:r>
      <w:proofErr w:type="spellEnd"/>
      <w:r w:rsidRPr="00D875BF">
        <w:rPr>
          <w:color w:val="70AD47" w:themeColor="accent6"/>
        </w:rPr>
        <w:t xml:space="preserve">) </w:t>
      </w:r>
      <w:r w:rsidRPr="00D875BF">
        <w:rPr>
          <w:b/>
          <w:bCs/>
          <w:color w:val="70AD47" w:themeColor="accent6"/>
        </w:rPr>
        <w:t>low equipment and material cost</w:t>
      </w:r>
      <w:r w:rsidRPr="00D875BF">
        <w:rPr>
          <w:color w:val="70AD47" w:themeColor="accent6"/>
        </w:rPr>
        <w:t xml:space="preserve"> </w:t>
      </w:r>
      <w:r>
        <w:t xml:space="preserve">— </w:t>
      </w:r>
      <w:r w:rsidRPr="00D875BF">
        <w:rPr>
          <w:color w:val="FFC000" w:themeColor="accent4"/>
        </w:rPr>
        <w:t>desktop systems are available from under €200</w:t>
      </w:r>
      <w:r>
        <w:t xml:space="preserve">, </w:t>
      </w:r>
      <w:r w:rsidRPr="00D875BF">
        <w:rPr>
          <w:color w:val="70AD47" w:themeColor="accent6"/>
        </w:rPr>
        <w:t>making FDM accessible for SMEs and educational institutions</w:t>
      </w:r>
      <w:r w:rsidR="00D875BF">
        <w:rPr>
          <w:color w:val="70AD47" w:themeColor="accent6"/>
        </w:rPr>
        <w:t xml:space="preserve"> </w:t>
      </w:r>
      <w:r w:rsidR="00D875BF" w:rsidRPr="00D875BF">
        <w:rPr>
          <w:color w:val="FFC000" w:themeColor="accent4"/>
        </w:rPr>
        <w:t>more</w:t>
      </w:r>
      <w:r>
        <w:t xml:space="preserve">; (ii) </w:t>
      </w:r>
      <w:r w:rsidRPr="001C3EC0">
        <w:rPr>
          <w:b/>
          <w:bCs/>
          <w:color w:val="70AD47" w:themeColor="accent6"/>
        </w:rPr>
        <w:t>large build volume</w:t>
      </w:r>
      <w:r w:rsidRPr="001C3EC0">
        <w:rPr>
          <w:color w:val="70AD47" w:themeColor="accent6"/>
        </w:rPr>
        <w:t xml:space="preserve"> relative to cost; (iii) </w:t>
      </w:r>
      <w:r w:rsidRPr="001C3EC0">
        <w:rPr>
          <w:b/>
          <w:bCs/>
          <w:color w:val="70AD47" w:themeColor="accent6"/>
        </w:rPr>
        <w:t>wide material choice</w:t>
      </w:r>
      <w:r w:rsidRPr="001C3EC0">
        <w:rPr>
          <w:color w:val="70AD47" w:themeColor="accent6"/>
        </w:rPr>
        <w:t>, including flexible and engineering-grade polymers</w:t>
      </w:r>
      <w:r>
        <w:t xml:space="preserve">; (iv) </w:t>
      </w:r>
      <w:r w:rsidRPr="001C3EC0">
        <w:rPr>
          <w:color w:val="EE0000"/>
        </w:rPr>
        <w:t>simplicity of operation and maintenance</w:t>
      </w:r>
      <w:r w:rsidR="001C3EC0" w:rsidRPr="001C3EC0">
        <w:rPr>
          <w:color w:val="EE0000"/>
        </w:rPr>
        <w:t xml:space="preserve"> (maybe we compare it to other printing technics)</w:t>
      </w:r>
      <w:r>
        <w:t xml:space="preserve">; </w:t>
      </w:r>
      <w:r w:rsidRPr="001C3EC0">
        <w:rPr>
          <w:color w:val="ED7D31" w:themeColor="accent2"/>
        </w:rPr>
        <w:t xml:space="preserve">and (v) </w:t>
      </w:r>
      <w:r w:rsidRPr="001C3EC0">
        <w:rPr>
          <w:b/>
          <w:bCs/>
          <w:color w:val="ED7D31" w:themeColor="accent2"/>
        </w:rPr>
        <w:t>compatibility with open-source ecosystems</w:t>
      </w:r>
      <w:r w:rsidRPr="001C3EC0">
        <w:rPr>
          <w:color w:val="ED7D31" w:themeColor="accent2"/>
        </w:rPr>
        <w:t xml:space="preserve"> (RepRap, Marlin firmware, </w:t>
      </w:r>
      <w:proofErr w:type="spellStart"/>
      <w:r w:rsidRPr="001C3EC0">
        <w:rPr>
          <w:color w:val="ED7D31" w:themeColor="accent2"/>
        </w:rPr>
        <w:t>OctoPrint</w:t>
      </w:r>
      <w:proofErr w:type="spellEnd"/>
      <w:r w:rsidRPr="001C3EC0">
        <w:rPr>
          <w:color w:val="ED7D31" w:themeColor="accent2"/>
        </w:rPr>
        <w:t>)</w:t>
      </w:r>
      <w:r w:rsidR="001C3EC0">
        <w:t xml:space="preserve"> </w:t>
      </w:r>
      <w:r w:rsidR="001C3EC0" w:rsidRPr="001C3EC0">
        <w:rPr>
          <w:color w:val="EE0000"/>
        </w:rPr>
        <w:t xml:space="preserve">(not all FDM printers are based on the previous firmware, for example : many modern </w:t>
      </w:r>
      <w:proofErr w:type="spellStart"/>
      <w:r w:rsidR="001C3EC0" w:rsidRPr="001C3EC0">
        <w:rPr>
          <w:color w:val="EE0000"/>
        </w:rPr>
        <w:t>Creality</w:t>
      </w:r>
      <w:proofErr w:type="spellEnd"/>
      <w:r w:rsidR="001C3EC0" w:rsidRPr="001C3EC0">
        <w:rPr>
          <w:color w:val="EE0000"/>
        </w:rPr>
        <w:t xml:space="preserve"> printers (like the K1 series, Ender-3 V3 KE/SE) and accessories (Sonic Pad) run on a forked, modified version of the Klipper firmware. While based on Klipper, </w:t>
      </w:r>
      <w:proofErr w:type="spellStart"/>
      <w:r w:rsidR="001C3EC0" w:rsidRPr="001C3EC0">
        <w:rPr>
          <w:color w:val="EE0000"/>
        </w:rPr>
        <w:t>Creality's</w:t>
      </w:r>
      <w:proofErr w:type="spellEnd"/>
      <w:r w:rsidR="001C3EC0" w:rsidRPr="001C3EC0">
        <w:rPr>
          <w:color w:val="EE0000"/>
        </w:rPr>
        <w:t xml:space="preserve"> version is often not fully open-source and is tailored for their "out-of-the-box" experience.)</w:t>
      </w:r>
      <w:r w:rsidRPr="001C3EC0">
        <w:rPr>
          <w:color w:val="EE0000"/>
        </w:rPr>
        <w:t xml:space="preserve">, </w:t>
      </w:r>
      <w:r w:rsidRPr="001C3EC0">
        <w:rPr>
          <w:color w:val="FFC000" w:themeColor="accent4"/>
        </w:rPr>
        <w:t xml:space="preserve">which is directly exploited in this thesis </w:t>
      </w:r>
      <w:r>
        <w:rPr>
          <w:b/>
          <w:bCs/>
        </w:rPr>
        <w:t>[21][24]</w:t>
      </w:r>
      <w:r>
        <w:t>.</w:t>
      </w:r>
    </w:p>
    <w:p w14:paraId="0717A255" w14:textId="541DBA01" w:rsidR="00D05C3F" w:rsidRDefault="00000000">
      <w:pPr>
        <w:spacing w:after="160" w:line="276" w:lineRule="auto"/>
        <w:jc w:val="both"/>
      </w:pPr>
      <w:r w:rsidRPr="001C3EC0">
        <w:rPr>
          <w:color w:val="70AD47" w:themeColor="accent6"/>
        </w:rPr>
        <w:lastRenderedPageBreak/>
        <w:t xml:space="preserve">The principal </w:t>
      </w:r>
      <w:r w:rsidRPr="001C3EC0">
        <w:rPr>
          <w:b/>
          <w:bCs/>
          <w:color w:val="70AD47" w:themeColor="accent6"/>
        </w:rPr>
        <w:t>limitations</w:t>
      </w:r>
      <w:r w:rsidRPr="001C3EC0">
        <w:rPr>
          <w:color w:val="70AD47" w:themeColor="accent6"/>
        </w:rPr>
        <w:t xml:space="preserve"> are: (</w:t>
      </w:r>
      <w:proofErr w:type="spellStart"/>
      <w:r w:rsidRPr="001C3EC0">
        <w:rPr>
          <w:color w:val="70AD47" w:themeColor="accent6"/>
        </w:rPr>
        <w:t>i</w:t>
      </w:r>
      <w:proofErr w:type="spellEnd"/>
      <w:r w:rsidRPr="001C3EC0">
        <w:rPr>
          <w:color w:val="70AD47" w:themeColor="accent6"/>
        </w:rPr>
        <w:t xml:space="preserve">) </w:t>
      </w:r>
      <w:r w:rsidRPr="001C3EC0">
        <w:rPr>
          <w:b/>
          <w:bCs/>
          <w:color w:val="70AD47" w:themeColor="accent6"/>
        </w:rPr>
        <w:t>visible layer lines and relatively low surface quality</w:t>
      </w:r>
      <w:r w:rsidRPr="001C3EC0">
        <w:rPr>
          <w:color w:val="70AD47" w:themeColor="accent6"/>
        </w:rPr>
        <w:t xml:space="preserve">, requiring post-processing for cosmetic applications; (ii) </w:t>
      </w:r>
      <w:r w:rsidRPr="001C3EC0">
        <w:rPr>
          <w:b/>
          <w:bCs/>
          <w:color w:val="70AD47" w:themeColor="accent6"/>
        </w:rPr>
        <w:t>anisotropic mechanical properties</w:t>
      </w:r>
      <w:r w:rsidRPr="001C3EC0">
        <w:rPr>
          <w:color w:val="70AD47" w:themeColor="accent6"/>
        </w:rPr>
        <w:t xml:space="preserve"> — parts are weaker along the Z-axis due to inter-layer adhesion; (iii) </w:t>
      </w:r>
      <w:r w:rsidRPr="001C3EC0">
        <w:rPr>
          <w:b/>
          <w:bCs/>
          <w:color w:val="70AD47" w:themeColor="accent6"/>
        </w:rPr>
        <w:t>requirement for support structures</w:t>
      </w:r>
      <w:r w:rsidRPr="001C3EC0">
        <w:rPr>
          <w:color w:val="70AD47" w:themeColor="accent6"/>
        </w:rPr>
        <w:t xml:space="preserve"> on overhangs, which must be manually removed; and (iv) </w:t>
      </w:r>
      <w:r w:rsidRPr="001C3EC0">
        <w:rPr>
          <w:b/>
          <w:bCs/>
          <w:color w:val="70AD47" w:themeColor="accent6"/>
        </w:rPr>
        <w:t>susceptibility to process failures</w:t>
      </w:r>
      <w:r w:rsidRPr="001C3EC0">
        <w:rPr>
          <w:color w:val="70AD47" w:themeColor="accent6"/>
        </w:rPr>
        <w:t xml:space="preserve"> such as nozzle clogging, filament grinding, layer delamination, and warping — all of which are the primary failure modes addressed in this thesis</w:t>
      </w:r>
      <w:r w:rsidRPr="001C3EC0">
        <w:rPr>
          <w:b/>
          <w:bCs/>
        </w:rPr>
        <w:t xml:space="preserve"> </w:t>
      </w:r>
      <w:r>
        <w:rPr>
          <w:b/>
          <w:bCs/>
        </w:rPr>
        <w:t>[21][22]</w:t>
      </w:r>
      <w:r>
        <w:t>.</w:t>
      </w:r>
      <w:r w:rsidR="001C3EC0">
        <w:t xml:space="preserve"> </w:t>
      </w:r>
      <w:r w:rsidR="001C3EC0" w:rsidRPr="001C3EC0">
        <w:rPr>
          <w:color w:val="ED7D31" w:themeColor="accent2"/>
        </w:rPr>
        <w:t>More ?</w:t>
      </w:r>
    </w:p>
    <w:p w14:paraId="30BB4543" w14:textId="0C9F157A" w:rsidR="00D05C3F" w:rsidRDefault="00000000">
      <w:pPr>
        <w:spacing w:after="160" w:line="276" w:lineRule="auto"/>
        <w:jc w:val="both"/>
        <w:rPr>
          <w:color w:val="ED7D31" w:themeColor="accent2"/>
        </w:rPr>
      </w:pPr>
      <w:r w:rsidRPr="00280D74">
        <w:rPr>
          <w:color w:val="ED7D31" w:themeColor="accent2"/>
        </w:rPr>
        <w:t xml:space="preserve">Research consistently documents FDM failure rates of </w:t>
      </w:r>
      <w:r w:rsidRPr="00280D74">
        <w:rPr>
          <w:b/>
          <w:bCs/>
          <w:color w:val="ED7D31" w:themeColor="accent2"/>
        </w:rPr>
        <w:t>20–30% under realistic operating conditions</w:t>
      </w:r>
      <w:r w:rsidRPr="00280D74">
        <w:rPr>
          <w:color w:val="ED7D31" w:themeColor="accent2"/>
        </w:rPr>
        <w:t xml:space="preserve">, with material waste from failed prints reaching up to 34% of total filament consumed in open fabrication environments </w:t>
      </w:r>
      <w:r w:rsidRPr="00280D74">
        <w:rPr>
          <w:b/>
          <w:bCs/>
          <w:color w:val="ED7D31" w:themeColor="accent2"/>
        </w:rPr>
        <w:t>[12</w:t>
      </w:r>
      <w:r w:rsidR="001C3EC0" w:rsidRPr="00280D74">
        <w:rPr>
          <w:b/>
          <w:bCs/>
          <w:color w:val="ED7D31" w:themeColor="accent2"/>
        </w:rPr>
        <w:t>]</w:t>
      </w:r>
      <w:r w:rsidRPr="00280D74">
        <w:rPr>
          <w:color w:val="ED7D31" w:themeColor="accent2"/>
          <w:sz w:val="10"/>
          <w:szCs w:val="10"/>
        </w:rPr>
        <w:t>]</w:t>
      </w:r>
      <w:r w:rsidR="001C3EC0" w:rsidRPr="00280D74">
        <w:rPr>
          <w:color w:val="ED7D31" w:themeColor="accent2"/>
          <w:sz w:val="10"/>
          <w:szCs w:val="10"/>
        </w:rPr>
        <w:t>(previous ref : Song, R., &amp; Telenko, C. (2016))</w:t>
      </w:r>
      <w:r w:rsidRPr="00280D74">
        <w:rPr>
          <w:color w:val="ED7D31" w:themeColor="accent2"/>
        </w:rPr>
        <w:t>. This reliability gap is the central motivation for the predictive maintenance digital twin developed in this work.</w:t>
      </w:r>
    </w:p>
    <w:tbl>
      <w:tblPr>
        <w:tblStyle w:val="Grilledutableau"/>
        <w:tblW w:w="0" w:type="auto"/>
        <w:tblLook w:val="04A0" w:firstRow="1" w:lastRow="0" w:firstColumn="1" w:lastColumn="0" w:noHBand="0" w:noVBand="1"/>
      </w:tblPr>
      <w:tblGrid>
        <w:gridCol w:w="9016"/>
      </w:tblGrid>
      <w:tr w:rsidR="00280D74" w:rsidRPr="00280D74" w14:paraId="4964799F" w14:textId="77777777" w:rsidTr="00280D74">
        <w:tc>
          <w:tcPr>
            <w:tcW w:w="9016" w:type="dxa"/>
          </w:tcPr>
          <w:p w14:paraId="3783DB47" w14:textId="351831AC" w:rsidR="00280D74" w:rsidRDefault="00280D74" w:rsidP="00280D74">
            <w:pPr>
              <w:spacing w:after="160" w:line="276" w:lineRule="auto"/>
              <w:jc w:val="both"/>
              <w:rPr>
                <w:color w:val="767171" w:themeColor="background2" w:themeShade="80"/>
                <w:sz w:val="18"/>
                <w:szCs w:val="18"/>
              </w:rPr>
            </w:pPr>
            <w:r>
              <w:rPr>
                <w:color w:val="767171" w:themeColor="background2" w:themeShade="80"/>
                <w:sz w:val="18"/>
                <w:szCs w:val="18"/>
              </w:rPr>
              <w:t>Note:</w:t>
            </w:r>
          </w:p>
          <w:p w14:paraId="21FC6A07" w14:textId="64E4C5C4" w:rsidR="00280D74" w:rsidRPr="00280D74" w:rsidRDefault="00280D74" w:rsidP="00280D74">
            <w:pPr>
              <w:spacing w:after="160" w:line="276" w:lineRule="auto"/>
              <w:jc w:val="both"/>
              <w:rPr>
                <w:color w:val="767171" w:themeColor="background2" w:themeShade="80"/>
                <w:sz w:val="18"/>
                <w:szCs w:val="18"/>
              </w:rPr>
            </w:pPr>
            <w:r w:rsidRPr="00280D74">
              <w:rPr>
                <w:color w:val="767171" w:themeColor="background2" w:themeShade="80"/>
                <w:sz w:val="18"/>
                <w:szCs w:val="18"/>
              </w:rPr>
              <w:t xml:space="preserve">the information is </w:t>
            </w:r>
            <w:r w:rsidRPr="00280D74">
              <w:rPr>
                <w:b/>
                <w:bCs/>
                <w:color w:val="767171" w:themeColor="background2" w:themeShade="80"/>
                <w:sz w:val="18"/>
                <w:szCs w:val="18"/>
              </w:rPr>
              <w:t>partially reliable</w:t>
            </w:r>
            <w:r w:rsidRPr="00280D74">
              <w:rPr>
                <w:color w:val="767171" w:themeColor="background2" w:themeShade="80"/>
                <w:sz w:val="18"/>
                <w:szCs w:val="18"/>
              </w:rPr>
              <w:t>, but the wording should be improved to avoid overstating the evidence.</w:t>
            </w:r>
          </w:p>
          <w:p w14:paraId="6B7C43BD" w14:textId="77777777" w:rsidR="00280D74" w:rsidRPr="00280D74" w:rsidRDefault="00280D74" w:rsidP="00280D74">
            <w:pPr>
              <w:spacing w:after="160" w:line="276" w:lineRule="auto"/>
              <w:jc w:val="both"/>
              <w:rPr>
                <w:color w:val="767171" w:themeColor="background2" w:themeShade="80"/>
                <w:sz w:val="18"/>
                <w:szCs w:val="18"/>
              </w:rPr>
            </w:pPr>
            <w:r w:rsidRPr="00280D74">
              <w:rPr>
                <w:color w:val="767171" w:themeColor="background2" w:themeShade="80"/>
                <w:sz w:val="18"/>
                <w:szCs w:val="18"/>
              </w:rPr>
              <w:t>Here’s a breakdown:</w:t>
            </w:r>
          </w:p>
          <w:p w14:paraId="193FA884" w14:textId="77777777" w:rsidR="00280D74" w:rsidRPr="00280D74" w:rsidRDefault="00280D74" w:rsidP="00280D74">
            <w:pPr>
              <w:numPr>
                <w:ilvl w:val="0"/>
                <w:numId w:val="3"/>
              </w:numPr>
              <w:spacing w:after="160" w:line="276" w:lineRule="auto"/>
              <w:jc w:val="both"/>
              <w:rPr>
                <w:color w:val="767171" w:themeColor="background2" w:themeShade="80"/>
                <w:sz w:val="18"/>
                <w:szCs w:val="18"/>
              </w:rPr>
            </w:pPr>
            <w:r w:rsidRPr="00280D74">
              <w:rPr>
                <w:color w:val="767171" w:themeColor="background2" w:themeShade="80"/>
                <w:sz w:val="18"/>
                <w:szCs w:val="18"/>
              </w:rPr>
              <w:t xml:space="preserve">The claim about </w:t>
            </w:r>
            <w:r w:rsidRPr="00280D74">
              <w:rPr>
                <w:b/>
                <w:bCs/>
                <w:color w:val="767171" w:themeColor="background2" w:themeShade="80"/>
                <w:sz w:val="18"/>
                <w:szCs w:val="18"/>
              </w:rPr>
              <w:t>34% material waste</w:t>
            </w:r>
            <w:r w:rsidRPr="00280D74">
              <w:rPr>
                <w:color w:val="767171" w:themeColor="background2" w:themeShade="80"/>
                <w:sz w:val="18"/>
                <w:szCs w:val="18"/>
              </w:rPr>
              <w:t xml:space="preserve"> is strongly supported by the research of </w:t>
            </w:r>
            <w:proofErr w:type="spellStart"/>
            <w:r w:rsidRPr="00280D74">
              <w:rPr>
                <w:color w:val="767171" w:themeColor="background2" w:themeShade="80"/>
                <w:sz w:val="18"/>
                <w:szCs w:val="18"/>
              </w:rPr>
              <w:t>Ruoyu</w:t>
            </w:r>
            <w:proofErr w:type="spellEnd"/>
            <w:r w:rsidRPr="00280D74">
              <w:rPr>
                <w:color w:val="767171" w:themeColor="background2" w:themeShade="80"/>
                <w:sz w:val="18"/>
                <w:szCs w:val="18"/>
              </w:rPr>
              <w:t xml:space="preserve"> Song and Cassandra Telenko. Their studies on commercial/open-shop FDM environments found that roughly one-third of material was wasted under realistic operating conditions. </w:t>
            </w:r>
          </w:p>
          <w:p w14:paraId="3A30975C" w14:textId="77777777" w:rsidR="00280D74" w:rsidRPr="00280D74" w:rsidRDefault="00280D74" w:rsidP="00280D74">
            <w:pPr>
              <w:numPr>
                <w:ilvl w:val="0"/>
                <w:numId w:val="3"/>
              </w:numPr>
              <w:spacing w:after="160" w:line="276" w:lineRule="auto"/>
              <w:jc w:val="both"/>
              <w:rPr>
                <w:color w:val="767171" w:themeColor="background2" w:themeShade="80"/>
                <w:sz w:val="18"/>
                <w:szCs w:val="18"/>
              </w:rPr>
            </w:pPr>
            <w:r w:rsidRPr="00280D74">
              <w:rPr>
                <w:color w:val="767171" w:themeColor="background2" w:themeShade="80"/>
                <w:sz w:val="18"/>
                <w:szCs w:val="18"/>
              </w:rPr>
              <w:t>However, the statement:</w:t>
            </w:r>
          </w:p>
          <w:p w14:paraId="752B823B" w14:textId="77777777" w:rsidR="00280D74" w:rsidRPr="00280D74" w:rsidRDefault="00280D74" w:rsidP="00280D74">
            <w:pPr>
              <w:spacing w:after="160" w:line="276" w:lineRule="auto"/>
              <w:jc w:val="both"/>
              <w:rPr>
                <w:color w:val="767171" w:themeColor="background2" w:themeShade="80"/>
                <w:sz w:val="18"/>
                <w:szCs w:val="18"/>
              </w:rPr>
            </w:pPr>
            <w:r w:rsidRPr="00280D74">
              <w:rPr>
                <w:color w:val="767171" w:themeColor="background2" w:themeShade="80"/>
                <w:sz w:val="18"/>
                <w:szCs w:val="18"/>
              </w:rPr>
              <w:t>“Research consistently documents FDM failure rates of 20–30%”</w:t>
            </w:r>
          </w:p>
          <w:p w14:paraId="212FFB29" w14:textId="77777777" w:rsidR="00280D74" w:rsidRPr="00280D74" w:rsidRDefault="00280D74" w:rsidP="00280D74">
            <w:pPr>
              <w:spacing w:after="160" w:line="276" w:lineRule="auto"/>
              <w:jc w:val="both"/>
              <w:rPr>
                <w:color w:val="767171" w:themeColor="background2" w:themeShade="80"/>
                <w:sz w:val="18"/>
                <w:szCs w:val="18"/>
              </w:rPr>
            </w:pPr>
            <w:r w:rsidRPr="00280D74">
              <w:rPr>
                <w:color w:val="767171" w:themeColor="background2" w:themeShade="80"/>
                <w:sz w:val="18"/>
                <w:szCs w:val="18"/>
              </w:rPr>
              <w:t xml:space="preserve">is weaker academically because the cited studies do </w:t>
            </w:r>
            <w:r w:rsidRPr="00280D74">
              <w:rPr>
                <w:b/>
                <w:bCs/>
                <w:color w:val="767171" w:themeColor="background2" w:themeShade="80"/>
                <w:sz w:val="18"/>
                <w:szCs w:val="18"/>
              </w:rPr>
              <w:t>not</w:t>
            </w:r>
            <w:r w:rsidRPr="00280D74">
              <w:rPr>
                <w:color w:val="767171" w:themeColor="background2" w:themeShade="80"/>
                <w:sz w:val="18"/>
                <w:szCs w:val="18"/>
              </w:rPr>
              <w:t xml:space="preserve"> consistently report a universal 20–30% rate.</w:t>
            </w:r>
          </w:p>
          <w:p w14:paraId="48C312C2" w14:textId="77777777" w:rsidR="00280D74" w:rsidRPr="00280D74" w:rsidRDefault="00280D74" w:rsidP="00280D74">
            <w:pPr>
              <w:spacing w:after="160" w:line="276" w:lineRule="auto"/>
              <w:jc w:val="both"/>
              <w:rPr>
                <w:color w:val="767171" w:themeColor="background2" w:themeShade="80"/>
                <w:sz w:val="18"/>
                <w:szCs w:val="18"/>
              </w:rPr>
            </w:pPr>
            <w:r w:rsidRPr="00280D74">
              <w:rPr>
                <w:color w:val="767171" w:themeColor="background2" w:themeShade="80"/>
                <w:sz w:val="18"/>
                <w:szCs w:val="18"/>
              </w:rPr>
              <w:t>In fact:</w:t>
            </w:r>
          </w:p>
          <w:p w14:paraId="7EB38586" w14:textId="77777777" w:rsidR="00280D74" w:rsidRPr="00280D74" w:rsidRDefault="00280D74" w:rsidP="00280D74">
            <w:pPr>
              <w:numPr>
                <w:ilvl w:val="1"/>
                <w:numId w:val="3"/>
              </w:numPr>
              <w:spacing w:after="160" w:line="276" w:lineRule="auto"/>
              <w:jc w:val="both"/>
              <w:rPr>
                <w:color w:val="767171" w:themeColor="background2" w:themeShade="80"/>
                <w:sz w:val="18"/>
                <w:szCs w:val="18"/>
              </w:rPr>
            </w:pPr>
            <w:r w:rsidRPr="00280D74">
              <w:rPr>
                <w:color w:val="767171" w:themeColor="background2" w:themeShade="80"/>
                <w:sz w:val="18"/>
                <w:szCs w:val="18"/>
              </w:rPr>
              <w:t xml:space="preserve">One study observed a </w:t>
            </w:r>
            <w:r w:rsidRPr="00280D74">
              <w:rPr>
                <w:b/>
                <w:bCs/>
                <w:color w:val="767171" w:themeColor="background2" w:themeShade="80"/>
                <w:sz w:val="18"/>
                <w:szCs w:val="18"/>
              </w:rPr>
              <w:t>41.1% failure rate</w:t>
            </w:r>
            <w:r w:rsidRPr="00280D74">
              <w:rPr>
                <w:color w:val="767171" w:themeColor="background2" w:themeShade="80"/>
                <w:sz w:val="18"/>
                <w:szCs w:val="18"/>
              </w:rPr>
              <w:t xml:space="preserve"> in an open studio/makerspace environment. </w:t>
            </w:r>
          </w:p>
          <w:p w14:paraId="481658D8" w14:textId="77777777" w:rsidR="00280D74" w:rsidRPr="00280D74" w:rsidRDefault="00280D74" w:rsidP="00280D74">
            <w:pPr>
              <w:numPr>
                <w:ilvl w:val="1"/>
                <w:numId w:val="3"/>
              </w:numPr>
              <w:spacing w:after="160" w:line="276" w:lineRule="auto"/>
              <w:jc w:val="both"/>
              <w:rPr>
                <w:color w:val="767171" w:themeColor="background2" w:themeShade="80"/>
                <w:sz w:val="18"/>
                <w:szCs w:val="18"/>
              </w:rPr>
            </w:pPr>
            <w:r w:rsidRPr="00280D74">
              <w:rPr>
                <w:color w:val="767171" w:themeColor="background2" w:themeShade="80"/>
                <w:sz w:val="18"/>
                <w:szCs w:val="18"/>
              </w:rPr>
              <w:t xml:space="preserve">Another study emphasized waste ratios and failed-build material losses rather than a universal failure percentage. </w:t>
            </w:r>
          </w:p>
          <w:p w14:paraId="1C5B375B" w14:textId="77777777" w:rsidR="00280D74" w:rsidRPr="00280D74" w:rsidRDefault="00280D74" w:rsidP="00280D74">
            <w:pPr>
              <w:spacing w:after="160" w:line="276" w:lineRule="auto"/>
              <w:jc w:val="both"/>
              <w:rPr>
                <w:color w:val="767171" w:themeColor="background2" w:themeShade="80"/>
                <w:sz w:val="18"/>
                <w:szCs w:val="18"/>
              </w:rPr>
            </w:pPr>
            <w:proofErr w:type="gramStart"/>
            <w:r w:rsidRPr="00280D74">
              <w:rPr>
                <w:color w:val="767171" w:themeColor="background2" w:themeShade="80"/>
                <w:sz w:val="18"/>
                <w:szCs w:val="18"/>
              </w:rPr>
              <w:t>So</w:t>
            </w:r>
            <w:proofErr w:type="gramEnd"/>
            <w:r w:rsidRPr="00280D74">
              <w:rPr>
                <w:color w:val="767171" w:themeColor="background2" w:themeShade="80"/>
                <w:sz w:val="18"/>
                <w:szCs w:val="18"/>
              </w:rPr>
              <w:t xml:space="preserve"> the phrase “consistently documents 20–30%” may be challenged by reviewers unless you provide multiple sources explicitly reporting that range.</w:t>
            </w:r>
          </w:p>
          <w:p w14:paraId="72674C36" w14:textId="77777777" w:rsidR="00280D74" w:rsidRPr="00280D74" w:rsidRDefault="00280D74" w:rsidP="00280D74">
            <w:pPr>
              <w:spacing w:after="160" w:line="276" w:lineRule="auto"/>
              <w:jc w:val="both"/>
              <w:rPr>
                <w:color w:val="767171" w:themeColor="background2" w:themeShade="80"/>
                <w:sz w:val="18"/>
                <w:szCs w:val="18"/>
              </w:rPr>
            </w:pPr>
            <w:r w:rsidRPr="00280D74">
              <w:rPr>
                <w:color w:val="767171" w:themeColor="background2" w:themeShade="80"/>
                <w:sz w:val="18"/>
                <w:szCs w:val="18"/>
              </w:rPr>
              <w:t>A stronger academic version would be:</w:t>
            </w:r>
          </w:p>
          <w:p w14:paraId="7FE3AF9F" w14:textId="77777777" w:rsidR="00280D74" w:rsidRPr="00280D74" w:rsidRDefault="00280D74" w:rsidP="00280D74">
            <w:pPr>
              <w:spacing w:after="160" w:line="276" w:lineRule="auto"/>
              <w:jc w:val="both"/>
              <w:rPr>
                <w:color w:val="767171" w:themeColor="background2" w:themeShade="80"/>
                <w:sz w:val="18"/>
                <w:szCs w:val="18"/>
              </w:rPr>
            </w:pPr>
            <w:r w:rsidRPr="00280D74">
              <w:rPr>
                <w:color w:val="767171" w:themeColor="background2" w:themeShade="80"/>
                <w:sz w:val="18"/>
                <w:szCs w:val="18"/>
              </w:rPr>
              <w:t xml:space="preserve">“Studies conducted in open-shop and makerspace environments report substantial FDM print failures and material waste under realistic operating conditions. Song and Telenko observed that approximately 34% of filament material was wasted in commercial/open fabrication settings, while later studies reported failure rates exceeding 40% in some desktop FDM environments. These reliability challenges motivate the development of predictive maintenance and digital twin frameworks for additive manufacturing.” </w:t>
            </w:r>
          </w:p>
          <w:p w14:paraId="5CD55847" w14:textId="77777777" w:rsidR="00280D74" w:rsidRPr="00280D74" w:rsidRDefault="00280D74" w:rsidP="00280D74">
            <w:pPr>
              <w:spacing w:after="160" w:line="276" w:lineRule="auto"/>
              <w:jc w:val="both"/>
              <w:rPr>
                <w:color w:val="767171" w:themeColor="background2" w:themeShade="80"/>
                <w:sz w:val="18"/>
                <w:szCs w:val="18"/>
              </w:rPr>
            </w:pPr>
            <w:r w:rsidRPr="00280D74">
              <w:rPr>
                <w:color w:val="767171" w:themeColor="background2" w:themeShade="80"/>
                <w:sz w:val="18"/>
                <w:szCs w:val="18"/>
              </w:rPr>
              <w:t>This version is:</w:t>
            </w:r>
          </w:p>
          <w:p w14:paraId="7FA87CD2" w14:textId="77777777" w:rsidR="00280D74" w:rsidRPr="00280D74" w:rsidRDefault="00280D74" w:rsidP="00280D74">
            <w:pPr>
              <w:numPr>
                <w:ilvl w:val="0"/>
                <w:numId w:val="4"/>
              </w:numPr>
              <w:spacing w:after="160" w:line="276" w:lineRule="auto"/>
              <w:jc w:val="both"/>
              <w:rPr>
                <w:color w:val="767171" w:themeColor="background2" w:themeShade="80"/>
                <w:sz w:val="18"/>
                <w:szCs w:val="18"/>
              </w:rPr>
            </w:pPr>
            <w:r w:rsidRPr="00280D74">
              <w:rPr>
                <w:color w:val="767171" w:themeColor="background2" w:themeShade="80"/>
                <w:sz w:val="18"/>
                <w:szCs w:val="18"/>
              </w:rPr>
              <w:t xml:space="preserve">More precise </w:t>
            </w:r>
          </w:p>
          <w:p w14:paraId="7DC98D1B" w14:textId="77777777" w:rsidR="00280D74" w:rsidRPr="00280D74" w:rsidRDefault="00280D74" w:rsidP="00280D74">
            <w:pPr>
              <w:numPr>
                <w:ilvl w:val="0"/>
                <w:numId w:val="4"/>
              </w:numPr>
              <w:spacing w:after="160" w:line="276" w:lineRule="auto"/>
              <w:jc w:val="both"/>
              <w:rPr>
                <w:color w:val="767171" w:themeColor="background2" w:themeShade="80"/>
                <w:sz w:val="18"/>
                <w:szCs w:val="18"/>
              </w:rPr>
            </w:pPr>
            <w:r w:rsidRPr="00280D74">
              <w:rPr>
                <w:color w:val="767171" w:themeColor="background2" w:themeShade="80"/>
                <w:sz w:val="18"/>
                <w:szCs w:val="18"/>
              </w:rPr>
              <w:t xml:space="preserve">Better supported </w:t>
            </w:r>
          </w:p>
          <w:p w14:paraId="383738B9" w14:textId="77777777" w:rsidR="00280D74" w:rsidRPr="00280D74" w:rsidRDefault="00280D74" w:rsidP="00280D74">
            <w:pPr>
              <w:numPr>
                <w:ilvl w:val="0"/>
                <w:numId w:val="4"/>
              </w:numPr>
              <w:spacing w:after="160" w:line="276" w:lineRule="auto"/>
              <w:jc w:val="both"/>
              <w:rPr>
                <w:color w:val="767171" w:themeColor="background2" w:themeShade="80"/>
                <w:sz w:val="18"/>
                <w:szCs w:val="18"/>
              </w:rPr>
            </w:pPr>
            <w:r w:rsidRPr="00280D74">
              <w:rPr>
                <w:color w:val="767171" w:themeColor="background2" w:themeShade="80"/>
                <w:sz w:val="18"/>
                <w:szCs w:val="18"/>
              </w:rPr>
              <w:t xml:space="preserve">Harder for reviewers to criticize </w:t>
            </w:r>
          </w:p>
          <w:p w14:paraId="0350AF5F" w14:textId="339E1459" w:rsidR="00280D74" w:rsidRPr="00280D74" w:rsidRDefault="00280D74" w:rsidP="00280D74">
            <w:pPr>
              <w:numPr>
                <w:ilvl w:val="0"/>
                <w:numId w:val="4"/>
              </w:numPr>
              <w:spacing w:after="160" w:line="276" w:lineRule="auto"/>
              <w:jc w:val="both"/>
              <w:rPr>
                <w:color w:val="767171" w:themeColor="background2" w:themeShade="80"/>
              </w:rPr>
            </w:pPr>
            <w:r w:rsidRPr="00280D74">
              <w:rPr>
                <w:color w:val="767171" w:themeColor="background2" w:themeShade="80"/>
                <w:sz w:val="18"/>
                <w:szCs w:val="18"/>
              </w:rPr>
              <w:t>Scientifically safer than claiming a universal 20–30% failure rate without enough sources.</w:t>
            </w:r>
          </w:p>
        </w:tc>
      </w:tr>
    </w:tbl>
    <w:p w14:paraId="73FE1DE1" w14:textId="77777777" w:rsidR="00280D74" w:rsidRPr="00280D74" w:rsidRDefault="00280D74">
      <w:pPr>
        <w:spacing w:after="160" w:line="276" w:lineRule="auto"/>
        <w:jc w:val="both"/>
        <w:rPr>
          <w:color w:val="ED7D31" w:themeColor="accent2"/>
        </w:rPr>
      </w:pPr>
    </w:p>
    <w:p w14:paraId="1B5CDF87" w14:textId="77777777" w:rsidR="00D05C3F" w:rsidRDefault="00000000">
      <w:pPr>
        <w:pStyle w:val="Titre3"/>
      </w:pPr>
      <w:r>
        <w:t>1.3.2  SLA (Stereolithography)</w:t>
      </w:r>
    </w:p>
    <w:p w14:paraId="54F7FCC2" w14:textId="77777777" w:rsidR="00D05C3F" w:rsidRDefault="00000000">
      <w:pPr>
        <w:spacing w:after="160" w:line="276" w:lineRule="auto"/>
        <w:jc w:val="both"/>
      </w:pPr>
      <w:r w:rsidRPr="001C3EC0">
        <w:rPr>
          <w:color w:val="ED7D31" w:themeColor="accent2"/>
        </w:rPr>
        <w:lastRenderedPageBreak/>
        <w:t xml:space="preserve">Stereolithography (SLA) is the oldest commercial additive manufacturing technology, first patented by Charles Hull in 1984 and </w:t>
      </w:r>
      <w:proofErr w:type="spellStart"/>
      <w:r w:rsidRPr="001C3EC0">
        <w:rPr>
          <w:color w:val="ED7D31" w:themeColor="accent2"/>
        </w:rPr>
        <w:t>commercialised</w:t>
      </w:r>
      <w:proofErr w:type="spellEnd"/>
      <w:r w:rsidRPr="001C3EC0">
        <w:rPr>
          <w:color w:val="ED7D31" w:themeColor="accent2"/>
        </w:rPr>
        <w:t xml:space="preserve"> by 3D Systems </w:t>
      </w:r>
      <w:r>
        <w:rPr>
          <w:b/>
          <w:bCs/>
        </w:rPr>
        <w:t>[25]</w:t>
      </w:r>
      <w:r>
        <w:t xml:space="preserve">. </w:t>
      </w:r>
      <w:r w:rsidRPr="001C3EC0">
        <w:rPr>
          <w:color w:val="ED7D31" w:themeColor="accent2"/>
        </w:rPr>
        <w:t xml:space="preserve">It belongs to the Vat </w:t>
      </w:r>
      <w:proofErr w:type="spellStart"/>
      <w:r w:rsidRPr="001C3EC0">
        <w:rPr>
          <w:color w:val="ED7D31" w:themeColor="accent2"/>
        </w:rPr>
        <w:t>Photopolymerisation</w:t>
      </w:r>
      <w:proofErr w:type="spellEnd"/>
      <w:r w:rsidRPr="001C3EC0">
        <w:rPr>
          <w:color w:val="ED7D31" w:themeColor="accent2"/>
        </w:rPr>
        <w:t xml:space="preserve"> family of processes and operates through a fundamentally different principle from FDM</w:t>
      </w:r>
      <w:r>
        <w:t xml:space="preserve">: </w:t>
      </w:r>
      <w:r w:rsidRPr="001C3EC0">
        <w:rPr>
          <w:color w:val="70AD47" w:themeColor="accent6"/>
        </w:rPr>
        <w:t xml:space="preserve">a UV laser precisely traces each layer's cross-section across the surface of a liquid photopolymer resin bath, causing </w:t>
      </w:r>
      <w:proofErr w:type="spellStart"/>
      <w:r w:rsidRPr="001C3EC0">
        <w:rPr>
          <w:color w:val="70AD47" w:themeColor="accent6"/>
        </w:rPr>
        <w:t>localised</w:t>
      </w:r>
      <w:proofErr w:type="spellEnd"/>
      <w:r w:rsidRPr="001C3EC0">
        <w:rPr>
          <w:color w:val="70AD47" w:themeColor="accent6"/>
        </w:rPr>
        <w:t xml:space="preserve"> </w:t>
      </w:r>
      <w:proofErr w:type="spellStart"/>
      <w:r w:rsidRPr="001C3EC0">
        <w:rPr>
          <w:color w:val="70AD47" w:themeColor="accent6"/>
        </w:rPr>
        <w:t>photopolymerisation</w:t>
      </w:r>
      <w:proofErr w:type="spellEnd"/>
      <w:r w:rsidRPr="001C3EC0">
        <w:rPr>
          <w:color w:val="70AD47" w:themeColor="accent6"/>
        </w:rPr>
        <w:t xml:space="preserve"> (solidification). After each layer is cured, the build platform moves by one layer thickness, fresh resin covers the surface, and the next layer is cured on top </w:t>
      </w:r>
      <w:r>
        <w:rPr>
          <w:b/>
          <w:bCs/>
        </w:rPr>
        <w:t>[26]</w:t>
      </w:r>
      <w:r>
        <w:t>.</w:t>
      </w:r>
    </w:p>
    <w:p w14:paraId="48A87997" w14:textId="77777777" w:rsidR="00D05C3F" w:rsidRPr="001C3EC0" w:rsidRDefault="00000000">
      <w:pPr>
        <w:spacing w:after="160" w:line="276" w:lineRule="auto"/>
        <w:jc w:val="both"/>
        <w:rPr>
          <w:color w:val="70AD47" w:themeColor="accent6"/>
        </w:rPr>
      </w:pPr>
      <w:r w:rsidRPr="001C3EC0">
        <w:rPr>
          <w:color w:val="70AD47" w:themeColor="accent6"/>
        </w:rPr>
        <w:t xml:space="preserve">SLA's defining characteristic is its </w:t>
      </w:r>
      <w:r w:rsidRPr="001C3EC0">
        <w:rPr>
          <w:b/>
          <w:bCs/>
          <w:color w:val="70AD47" w:themeColor="accent6"/>
        </w:rPr>
        <w:t>exceptional dimensional accuracy and surface quality</w:t>
      </w:r>
      <w:r w:rsidRPr="001C3EC0">
        <w:rPr>
          <w:color w:val="70AD47" w:themeColor="accent6"/>
        </w:rPr>
        <w:t xml:space="preserve">. Layer thickness can be as </w:t>
      </w:r>
      <w:r w:rsidRPr="001C3EC0">
        <w:rPr>
          <w:color w:val="ED7D31" w:themeColor="accent2"/>
        </w:rPr>
        <w:t>low as 25–50 µm, and the laser spot diameter limits feature resolution to approximately 20 µm</w:t>
      </w:r>
      <w:r w:rsidRPr="001C3EC0">
        <w:rPr>
          <w:color w:val="70AD47" w:themeColor="accent6"/>
        </w:rPr>
        <w:t xml:space="preserve"> — significantly finer than </w:t>
      </w:r>
      <w:r w:rsidRPr="00280D74">
        <w:rPr>
          <w:color w:val="ED7D31" w:themeColor="accent2"/>
        </w:rPr>
        <w:t xml:space="preserve">FDM (50–200 µm for comparable systems) </w:t>
      </w:r>
      <w:r w:rsidRPr="001C3EC0">
        <w:rPr>
          <w:b/>
          <w:bCs/>
          <w:color w:val="70AD47" w:themeColor="accent6"/>
        </w:rPr>
        <w:t>[27]</w:t>
      </w:r>
      <w:r w:rsidRPr="001C3EC0">
        <w:rPr>
          <w:color w:val="70AD47" w:themeColor="accent6"/>
        </w:rPr>
        <w:t xml:space="preserve">. This precision makes SLA the method of choice for dental prosthetics, </w:t>
      </w:r>
      <w:proofErr w:type="spellStart"/>
      <w:r w:rsidRPr="001C3EC0">
        <w:rPr>
          <w:color w:val="70AD47" w:themeColor="accent6"/>
        </w:rPr>
        <w:t>jewellery</w:t>
      </w:r>
      <w:proofErr w:type="spellEnd"/>
      <w:r w:rsidRPr="001C3EC0">
        <w:rPr>
          <w:color w:val="70AD47" w:themeColor="accent6"/>
        </w:rPr>
        <w:t xml:space="preserve"> casting patterns, micro-fluidic devices, and fine-feature functional prototypes.</w:t>
      </w:r>
    </w:p>
    <w:p w14:paraId="6C79ADFB" w14:textId="77777777" w:rsidR="00280D74" w:rsidRDefault="00000000">
      <w:pPr>
        <w:spacing w:after="160" w:line="276" w:lineRule="auto"/>
        <w:jc w:val="both"/>
      </w:pPr>
      <w:r w:rsidRPr="00280D74">
        <w:rPr>
          <w:color w:val="70AD47" w:themeColor="accent6"/>
        </w:rPr>
        <w:t xml:space="preserve">The </w:t>
      </w:r>
      <w:r w:rsidRPr="00280D74">
        <w:rPr>
          <w:b/>
          <w:bCs/>
          <w:color w:val="70AD47" w:themeColor="accent6"/>
        </w:rPr>
        <w:t>advantages</w:t>
      </w:r>
      <w:r w:rsidRPr="00280D74">
        <w:rPr>
          <w:color w:val="70AD47" w:themeColor="accent6"/>
        </w:rPr>
        <w:t xml:space="preserve"> of SLA include: (</w:t>
      </w:r>
      <w:proofErr w:type="spellStart"/>
      <w:r w:rsidRPr="00280D74">
        <w:rPr>
          <w:color w:val="70AD47" w:themeColor="accent6"/>
        </w:rPr>
        <w:t>i</w:t>
      </w:r>
      <w:proofErr w:type="spellEnd"/>
      <w:r w:rsidRPr="00280D74">
        <w:rPr>
          <w:color w:val="70AD47" w:themeColor="accent6"/>
        </w:rPr>
        <w:t xml:space="preserve">) highest surface finish quality and geometric accuracy among the three technologies reviewed; (ii) ability to produce micro-scale features impossible with FDM; and (iii) biocompatible resin formulations suitable for medical implants and food-contact applications </w:t>
      </w:r>
      <w:r w:rsidRPr="00280D74">
        <w:rPr>
          <w:b/>
          <w:bCs/>
          <w:color w:val="70AD47" w:themeColor="accent6"/>
        </w:rPr>
        <w:t>[26]</w:t>
      </w:r>
      <w:r w:rsidRPr="00280D74">
        <w:rPr>
          <w:color w:val="70AD47" w:themeColor="accent6"/>
        </w:rPr>
        <w:t xml:space="preserve">. The </w:t>
      </w:r>
      <w:r w:rsidRPr="00280D74">
        <w:rPr>
          <w:b/>
          <w:bCs/>
          <w:color w:val="70AD47" w:themeColor="accent6"/>
        </w:rPr>
        <w:t>limitations</w:t>
      </w:r>
      <w:r w:rsidRPr="00280D74">
        <w:rPr>
          <w:color w:val="70AD47" w:themeColor="accent6"/>
        </w:rPr>
        <w:t xml:space="preserve"> are significant: (</w:t>
      </w:r>
      <w:proofErr w:type="spellStart"/>
      <w:r w:rsidRPr="00280D74">
        <w:rPr>
          <w:color w:val="70AD47" w:themeColor="accent6"/>
        </w:rPr>
        <w:t>i</w:t>
      </w:r>
      <w:proofErr w:type="spellEnd"/>
      <w:r w:rsidRPr="00280D74">
        <w:rPr>
          <w:color w:val="70AD47" w:themeColor="accent6"/>
        </w:rPr>
        <w:t xml:space="preserve">) </w:t>
      </w:r>
      <w:r w:rsidRPr="00280D74">
        <w:rPr>
          <w:b/>
          <w:bCs/>
          <w:color w:val="70AD47" w:themeColor="accent6"/>
        </w:rPr>
        <w:t>material brittleness</w:t>
      </w:r>
      <w:r w:rsidRPr="00280D74">
        <w:rPr>
          <w:color w:val="70AD47" w:themeColor="accent6"/>
        </w:rPr>
        <w:t xml:space="preserve"> — standard photopolymer resins are thermoset materials that are inherently fragile under impact, limiting load-bearing applications; (ii) </w:t>
      </w:r>
      <w:r w:rsidRPr="00280D74">
        <w:rPr>
          <w:b/>
          <w:bCs/>
          <w:color w:val="70AD47" w:themeColor="accent6"/>
        </w:rPr>
        <w:t>narrow material range</w:t>
      </w:r>
      <w:r w:rsidRPr="00280D74">
        <w:rPr>
          <w:color w:val="70AD47" w:themeColor="accent6"/>
        </w:rPr>
        <w:t xml:space="preserve"> restricted to photocurable resins; (iii) </w:t>
      </w:r>
      <w:r w:rsidRPr="00280D74">
        <w:rPr>
          <w:b/>
          <w:bCs/>
          <w:color w:val="70AD47" w:themeColor="accent6"/>
        </w:rPr>
        <w:t>post-processing requirements</w:t>
      </w:r>
      <w:r w:rsidRPr="00280D74">
        <w:rPr>
          <w:color w:val="70AD47" w:themeColor="accent6"/>
        </w:rPr>
        <w:t xml:space="preserve"> — parts must be rinsed in isopropanol and post-cured under UV to complete </w:t>
      </w:r>
      <w:proofErr w:type="spellStart"/>
      <w:r w:rsidRPr="00280D74">
        <w:rPr>
          <w:color w:val="70AD47" w:themeColor="accent6"/>
        </w:rPr>
        <w:t>polymerisation</w:t>
      </w:r>
      <w:proofErr w:type="spellEnd"/>
      <w:r w:rsidRPr="00280D74">
        <w:rPr>
          <w:color w:val="70AD47" w:themeColor="accent6"/>
        </w:rPr>
        <w:t xml:space="preserve">; and (iv) </w:t>
      </w:r>
      <w:r w:rsidRPr="00280D74">
        <w:rPr>
          <w:b/>
          <w:bCs/>
          <w:color w:val="70AD47" w:themeColor="accent6"/>
        </w:rPr>
        <w:t>higher material and equipment cost</w:t>
      </w:r>
      <w:r w:rsidRPr="00280D74">
        <w:rPr>
          <w:color w:val="70AD47" w:themeColor="accent6"/>
        </w:rPr>
        <w:t xml:space="preserve"> than FDM </w:t>
      </w:r>
      <w:r>
        <w:rPr>
          <w:b/>
          <w:bCs/>
        </w:rPr>
        <w:t>[26][27]</w:t>
      </w:r>
      <w:r>
        <w:t>.</w:t>
      </w:r>
      <w:r w:rsidR="00280D74">
        <w:t xml:space="preserve"> </w:t>
      </w:r>
      <w:r w:rsidR="00280D74">
        <w:br/>
      </w:r>
    </w:p>
    <w:tbl>
      <w:tblPr>
        <w:tblStyle w:val="Grilledutableau"/>
        <w:tblW w:w="0" w:type="auto"/>
        <w:tblLook w:val="04A0" w:firstRow="1" w:lastRow="0" w:firstColumn="1" w:lastColumn="0" w:noHBand="0" w:noVBand="1"/>
      </w:tblPr>
      <w:tblGrid>
        <w:gridCol w:w="9016"/>
      </w:tblGrid>
      <w:tr w:rsidR="00280D74" w:rsidRPr="00280D74" w14:paraId="78B4629D" w14:textId="77777777" w:rsidTr="00280D74">
        <w:tc>
          <w:tcPr>
            <w:tcW w:w="9016" w:type="dxa"/>
          </w:tcPr>
          <w:p w14:paraId="0F097403" w14:textId="13FD93A7" w:rsidR="00280D74" w:rsidRPr="00280D74" w:rsidRDefault="00280D74">
            <w:pPr>
              <w:spacing w:after="160" w:line="276" w:lineRule="auto"/>
              <w:jc w:val="both"/>
              <w:rPr>
                <w:color w:val="767171" w:themeColor="background2" w:themeShade="80"/>
              </w:rPr>
            </w:pPr>
            <w:r>
              <w:rPr>
                <w:color w:val="767171" w:themeColor="background2" w:themeShade="80"/>
              </w:rPr>
              <w:t xml:space="preserve">My opinion : </w:t>
            </w:r>
            <w:r w:rsidRPr="00280D74">
              <w:rPr>
                <w:color w:val="767171" w:themeColor="background2" w:themeShade="80"/>
              </w:rPr>
              <w:t>Why FDM and not SLA : not available in local market</w:t>
            </w:r>
          </w:p>
        </w:tc>
      </w:tr>
    </w:tbl>
    <w:p w14:paraId="6F0AD99C" w14:textId="77777777" w:rsidR="00D05C3F" w:rsidRDefault="00000000">
      <w:pPr>
        <w:spacing w:after="160" w:line="276" w:lineRule="auto"/>
        <w:jc w:val="both"/>
      </w:pPr>
      <w:r w:rsidRPr="00280D74">
        <w:rPr>
          <w:color w:val="ED7D31" w:themeColor="accent2"/>
        </w:rPr>
        <w:t xml:space="preserve">SLA is </w:t>
      </w:r>
      <w:r w:rsidRPr="00280D74">
        <w:rPr>
          <w:b/>
          <w:bCs/>
          <w:color w:val="ED7D31" w:themeColor="accent2"/>
        </w:rPr>
        <w:t>not the focus of the present thesis</w:t>
      </w:r>
      <w:r>
        <w:t xml:space="preserve">: </w:t>
      </w:r>
      <w:r w:rsidRPr="00280D74">
        <w:rPr>
          <w:color w:val="ED7D31" w:themeColor="accent2"/>
        </w:rPr>
        <w:t>its failure modes (resin contamination, delamination under UV exposure, support mark artefacts) differ fundamentally from those of FDM thermoplastic extrusion, and its closed-vat liquid environment presents distinct sensor placement and data acquisition challenges. Nevertheless, SLA represents an important reference point in the technology landscape, particularly for precision manufacturing applications where surface quality is paramount.</w:t>
      </w:r>
    </w:p>
    <w:p w14:paraId="0E4B30A3" w14:textId="77777777" w:rsidR="00D05C3F" w:rsidRDefault="00000000">
      <w:pPr>
        <w:pStyle w:val="Titre3"/>
      </w:pPr>
      <w:r>
        <w:t>1.3.3  SLS (Selective Laser Sintering)</w:t>
      </w:r>
    </w:p>
    <w:p w14:paraId="7595841A" w14:textId="77777777" w:rsidR="00D05C3F" w:rsidRDefault="00000000">
      <w:pPr>
        <w:spacing w:after="160" w:line="276" w:lineRule="auto"/>
        <w:jc w:val="both"/>
      </w:pPr>
      <w:r w:rsidRPr="00280D74">
        <w:rPr>
          <w:color w:val="70AD47" w:themeColor="accent6"/>
        </w:rPr>
        <w:t>Selective Laser Sintering (SLS) belongs to the Powder Bed Fusion family of additive manufacturing processes</w:t>
      </w:r>
      <w:r w:rsidRPr="00280D74">
        <w:rPr>
          <w:color w:val="ED7D31" w:themeColor="accent2"/>
        </w:rPr>
        <w:t>.</w:t>
      </w:r>
      <w:r>
        <w:t xml:space="preserve"> </w:t>
      </w:r>
      <w:r w:rsidRPr="00280D74">
        <w:rPr>
          <w:color w:val="ED7D31" w:themeColor="accent2"/>
        </w:rPr>
        <w:t xml:space="preserve">Developed at the University of Texas at Austin in the late 1980s, </w:t>
      </w:r>
      <w:r w:rsidRPr="00280D74">
        <w:rPr>
          <w:color w:val="70AD47" w:themeColor="accent6"/>
        </w:rPr>
        <w:t xml:space="preserve">SLS operates by directing a high-power CO₂ laser across a bed of fine polymer (or metal) powder, selectively fusing particles in each cross-sectional layer through </w:t>
      </w:r>
      <w:proofErr w:type="spellStart"/>
      <w:r w:rsidRPr="00280D74">
        <w:rPr>
          <w:color w:val="70AD47" w:themeColor="accent6"/>
        </w:rPr>
        <w:t>localised</w:t>
      </w:r>
      <w:proofErr w:type="spellEnd"/>
      <w:r w:rsidRPr="00280D74">
        <w:rPr>
          <w:color w:val="70AD47" w:themeColor="accent6"/>
        </w:rPr>
        <w:t xml:space="preserve"> heating</w:t>
      </w:r>
      <w:r>
        <w:t xml:space="preserve"> </w:t>
      </w:r>
      <w:r>
        <w:rPr>
          <w:b/>
          <w:bCs/>
        </w:rPr>
        <w:t>[28]</w:t>
      </w:r>
      <w:r>
        <w:t xml:space="preserve">. </w:t>
      </w:r>
      <w:r w:rsidRPr="00280D74">
        <w:rPr>
          <w:color w:val="70AD47" w:themeColor="accent6"/>
        </w:rPr>
        <w:t xml:space="preserve">After each layer is sintered, a recoating blade deposits a fresh, thin layer of powder, and the build platform lowers by one layer thickness. Upon completion, the entire build volume is a solid block of loose powder and fused parts; no separate support structures are required, as the surrounding </w:t>
      </w:r>
      <w:proofErr w:type="spellStart"/>
      <w:r w:rsidRPr="00280D74">
        <w:rPr>
          <w:color w:val="70AD47" w:themeColor="accent6"/>
        </w:rPr>
        <w:t>unsintered</w:t>
      </w:r>
      <w:proofErr w:type="spellEnd"/>
      <w:r w:rsidRPr="00280D74">
        <w:rPr>
          <w:color w:val="70AD47" w:themeColor="accent6"/>
        </w:rPr>
        <w:t xml:space="preserve"> powder provides mechanical support throughout the build </w:t>
      </w:r>
      <w:r>
        <w:rPr>
          <w:b/>
          <w:bCs/>
        </w:rPr>
        <w:t>[29]</w:t>
      </w:r>
      <w:r>
        <w:t>.</w:t>
      </w:r>
    </w:p>
    <w:p w14:paraId="03F9BDB4" w14:textId="77777777" w:rsidR="00D05C3F" w:rsidRDefault="00000000">
      <w:pPr>
        <w:spacing w:after="160" w:line="276" w:lineRule="auto"/>
        <w:jc w:val="both"/>
      </w:pPr>
      <w:r w:rsidRPr="007B6529">
        <w:rPr>
          <w:color w:val="70AD47" w:themeColor="accent6"/>
        </w:rPr>
        <w:t xml:space="preserve">The </w:t>
      </w:r>
      <w:r w:rsidRPr="007B6529">
        <w:rPr>
          <w:b/>
          <w:bCs/>
          <w:color w:val="70AD47" w:themeColor="accent6"/>
        </w:rPr>
        <w:t>elimination of support structures</w:t>
      </w:r>
      <w:r w:rsidRPr="007B6529">
        <w:rPr>
          <w:color w:val="70AD47" w:themeColor="accent6"/>
        </w:rPr>
        <w:t xml:space="preserve"> is SLS's most distinctive advantage: it enables the fabrication of highly complex geometries — internal channels, interlocking components, and lattice structures — that are impractical or impossible with FDM or SLA. Parts exhibit </w:t>
      </w:r>
      <w:r w:rsidRPr="007B6529">
        <w:rPr>
          <w:b/>
          <w:bCs/>
          <w:color w:val="70AD47" w:themeColor="accent6"/>
        </w:rPr>
        <w:t>isotropic mechanical properties</w:t>
      </w:r>
      <w:r w:rsidRPr="007B6529">
        <w:rPr>
          <w:color w:val="70AD47" w:themeColor="accent6"/>
        </w:rPr>
        <w:t xml:space="preserve">, meaning strength is uniform in all directions, unlike FDM's layer-dependent anisotropy. Commonly sintered materials include polyamide 12 (PA12/Nylon 12), </w:t>
      </w:r>
      <w:r w:rsidRPr="007B6529">
        <w:rPr>
          <w:color w:val="70AD47" w:themeColor="accent6"/>
        </w:rPr>
        <w:lastRenderedPageBreak/>
        <w:t xml:space="preserve">PEEK, TPU, and metallic powders in SLS variants (e.g., Direct Metal Laser Sintering, DMLS) </w:t>
      </w:r>
      <w:r>
        <w:rPr>
          <w:b/>
          <w:bCs/>
        </w:rPr>
        <w:t>[28]</w:t>
      </w:r>
      <w:r>
        <w:t>.</w:t>
      </w:r>
    </w:p>
    <w:p w14:paraId="1EEF575E" w14:textId="77777777" w:rsidR="00D05C3F" w:rsidRDefault="00000000">
      <w:pPr>
        <w:spacing w:after="160" w:line="276" w:lineRule="auto"/>
        <w:jc w:val="both"/>
      </w:pPr>
      <w:r w:rsidRPr="007B6529">
        <w:rPr>
          <w:color w:val="70AD47" w:themeColor="accent6"/>
        </w:rPr>
        <w:t xml:space="preserve">The </w:t>
      </w:r>
      <w:r w:rsidRPr="007B6529">
        <w:rPr>
          <w:b/>
          <w:bCs/>
          <w:color w:val="70AD47" w:themeColor="accent6"/>
        </w:rPr>
        <w:t>limitations</w:t>
      </w:r>
      <w:r w:rsidRPr="007B6529">
        <w:rPr>
          <w:color w:val="70AD47" w:themeColor="accent6"/>
        </w:rPr>
        <w:t xml:space="preserve"> of SLS are also significant: (</w:t>
      </w:r>
      <w:proofErr w:type="spellStart"/>
      <w:r w:rsidRPr="007B6529">
        <w:rPr>
          <w:color w:val="70AD47" w:themeColor="accent6"/>
        </w:rPr>
        <w:t>i</w:t>
      </w:r>
      <w:proofErr w:type="spellEnd"/>
      <w:r w:rsidRPr="007B6529">
        <w:rPr>
          <w:color w:val="70AD47" w:themeColor="accent6"/>
        </w:rPr>
        <w:t xml:space="preserve">) </w:t>
      </w:r>
      <w:r w:rsidRPr="007B6529">
        <w:rPr>
          <w:b/>
          <w:bCs/>
          <w:color w:val="70AD47" w:themeColor="accent6"/>
        </w:rPr>
        <w:t>high equipment cost</w:t>
      </w:r>
      <w:r>
        <w:t xml:space="preserve"> </w:t>
      </w:r>
      <w:r w:rsidRPr="007B6529">
        <w:rPr>
          <w:color w:val="ED7D31" w:themeColor="accent2"/>
        </w:rPr>
        <w:t>(industrial systems typically exceed €50,000)</w:t>
      </w:r>
      <w:r>
        <w:t xml:space="preserve">; </w:t>
      </w:r>
      <w:r w:rsidRPr="007B6529">
        <w:rPr>
          <w:color w:val="70AD47" w:themeColor="accent6"/>
        </w:rPr>
        <w:t xml:space="preserve">(ii) </w:t>
      </w:r>
      <w:r w:rsidRPr="007B6529">
        <w:rPr>
          <w:b/>
          <w:bCs/>
          <w:color w:val="70AD47" w:themeColor="accent6"/>
        </w:rPr>
        <w:t>powder handling complexity</w:t>
      </w:r>
      <w:r w:rsidRPr="007B6529">
        <w:rPr>
          <w:color w:val="70AD47" w:themeColor="accent6"/>
        </w:rPr>
        <w:t xml:space="preserve"> </w:t>
      </w:r>
      <w:r>
        <w:t xml:space="preserve">— </w:t>
      </w:r>
      <w:r w:rsidRPr="007B6529">
        <w:rPr>
          <w:color w:val="70AD47" w:themeColor="accent6"/>
        </w:rPr>
        <w:t xml:space="preserve">fine powders require controlled environments and present health and fire risks; (iii) </w:t>
      </w:r>
      <w:r w:rsidRPr="007B6529">
        <w:rPr>
          <w:b/>
          <w:bCs/>
          <w:color w:val="70AD47" w:themeColor="accent6"/>
        </w:rPr>
        <w:t>rough surface finish</w:t>
      </w:r>
      <w:r w:rsidRPr="007B6529">
        <w:rPr>
          <w:color w:val="70AD47" w:themeColor="accent6"/>
        </w:rPr>
        <w:t xml:space="preserve"> requiring post-processing (</w:t>
      </w:r>
      <w:proofErr w:type="spellStart"/>
      <w:r w:rsidRPr="007B6529">
        <w:rPr>
          <w:color w:val="70AD47" w:themeColor="accent6"/>
        </w:rPr>
        <w:t>vapour</w:t>
      </w:r>
      <w:proofErr w:type="spellEnd"/>
      <w:r w:rsidRPr="007B6529">
        <w:rPr>
          <w:color w:val="70AD47" w:themeColor="accent6"/>
        </w:rPr>
        <w:t xml:space="preserve"> smoothing, dyeing) for cosmetic applications; and (iv) </w:t>
      </w:r>
      <w:r w:rsidRPr="007B6529">
        <w:rPr>
          <w:b/>
          <w:bCs/>
          <w:color w:val="70AD47" w:themeColor="accent6"/>
        </w:rPr>
        <w:t>high energy consumption</w:t>
      </w:r>
      <w:r w:rsidRPr="007B6529">
        <w:rPr>
          <w:color w:val="70AD47" w:themeColor="accent6"/>
        </w:rPr>
        <w:t xml:space="preserve"> due to the requirement to pre-heat and maintain the entire powder bed at near-sintering temperature</w:t>
      </w:r>
      <w:r w:rsidRPr="007B6529">
        <w:rPr>
          <w:b/>
          <w:bCs/>
        </w:rPr>
        <w:t xml:space="preserve"> </w:t>
      </w:r>
      <w:r>
        <w:rPr>
          <w:b/>
          <w:bCs/>
        </w:rPr>
        <w:t>[29]</w:t>
      </w:r>
      <w:r>
        <w:t>.</w:t>
      </w:r>
    </w:p>
    <w:p w14:paraId="5EF774BB" w14:textId="77777777" w:rsidR="00D05C3F" w:rsidRPr="00861FE9" w:rsidRDefault="00000000">
      <w:pPr>
        <w:spacing w:after="160" w:line="276" w:lineRule="auto"/>
        <w:jc w:val="both"/>
        <w:rPr>
          <w:color w:val="ED7D31" w:themeColor="accent2"/>
        </w:rPr>
      </w:pPr>
      <w:r w:rsidRPr="007B6529">
        <w:rPr>
          <w:color w:val="70AD47" w:themeColor="accent6"/>
        </w:rPr>
        <w:t xml:space="preserve">SLS is predominantly applied in </w:t>
      </w:r>
      <w:r w:rsidRPr="007B6529">
        <w:rPr>
          <w:b/>
          <w:bCs/>
          <w:color w:val="70AD47" w:themeColor="accent6"/>
        </w:rPr>
        <w:t>aerospace, automotive, and high-value functional part production</w:t>
      </w:r>
      <w:r w:rsidRPr="007B6529">
        <w:rPr>
          <w:color w:val="70AD47" w:themeColor="accent6"/>
        </w:rPr>
        <w:t xml:space="preserve"> where geometric complexity and isotropic mechanical performance justify the cost</w:t>
      </w:r>
      <w:r>
        <w:t xml:space="preserve">. </w:t>
      </w:r>
      <w:r w:rsidRPr="00861FE9">
        <w:rPr>
          <w:color w:val="ED7D31" w:themeColor="accent2"/>
        </w:rPr>
        <w:t xml:space="preserve">Like SLA, SLS is </w:t>
      </w:r>
      <w:r w:rsidRPr="00861FE9">
        <w:rPr>
          <w:b/>
          <w:bCs/>
          <w:color w:val="ED7D31" w:themeColor="accent2"/>
        </w:rPr>
        <w:t>not the technology addressed in this thesis</w:t>
      </w:r>
      <w:r>
        <w:t xml:space="preserve">; </w:t>
      </w:r>
      <w:r w:rsidRPr="00861FE9">
        <w:rPr>
          <w:color w:val="70AD47" w:themeColor="accent6"/>
        </w:rPr>
        <w:t>its failure modes (powder contamination, laser drift, thermal gradient-induced warping in the powder bed)</w:t>
      </w:r>
      <w:r w:rsidRPr="00861FE9">
        <w:t xml:space="preserve"> </w:t>
      </w:r>
      <w:r w:rsidRPr="00861FE9">
        <w:rPr>
          <w:color w:val="70AD47" w:themeColor="accent6"/>
        </w:rPr>
        <w:t xml:space="preserve">and operational environment are sufficiently distinct from </w:t>
      </w:r>
      <w:r w:rsidRPr="00861FE9">
        <w:rPr>
          <w:color w:val="ED7D31" w:themeColor="accent2"/>
        </w:rPr>
        <w:t>FDM to constitute a separate research domain.</w:t>
      </w:r>
    </w:p>
    <w:p w14:paraId="564623FE" w14:textId="77777777" w:rsidR="00D05C3F" w:rsidRDefault="00000000">
      <w:pPr>
        <w:pStyle w:val="Titre3"/>
      </w:pPr>
      <w:r>
        <w:t>1.3.4  Comparison of Technologies</w:t>
      </w:r>
    </w:p>
    <w:p w14:paraId="5BDF9CFD" w14:textId="77777777" w:rsidR="00D05C3F" w:rsidRPr="00861FE9" w:rsidRDefault="00000000">
      <w:pPr>
        <w:spacing w:after="160" w:line="276" w:lineRule="auto"/>
        <w:jc w:val="both"/>
        <w:rPr>
          <w:color w:val="ED7D31" w:themeColor="accent2"/>
        </w:rPr>
      </w:pPr>
      <w:r>
        <w:t xml:space="preserve">Table 1.1 </w:t>
      </w:r>
      <w:r w:rsidRPr="00861FE9">
        <w:rPr>
          <w:color w:val="70AD47" w:themeColor="accent6"/>
        </w:rPr>
        <w:t>provides a structured comparison of FDM, SLA, and SLS across eight technical and economic dimensions</w:t>
      </w:r>
      <w:r>
        <w:t xml:space="preserve">, </w:t>
      </w:r>
      <w:proofErr w:type="spellStart"/>
      <w:r w:rsidRPr="00861FE9">
        <w:rPr>
          <w:color w:val="ED7D31" w:themeColor="accent2"/>
        </w:rPr>
        <w:t>synthesised</w:t>
      </w:r>
      <w:proofErr w:type="spellEnd"/>
      <w:r w:rsidRPr="00861FE9">
        <w:rPr>
          <w:color w:val="ED7D31" w:themeColor="accent2"/>
        </w:rPr>
        <w:t xml:space="preserve"> from the academic literature reviewed in Sections 1.3.1–1.3.3 </w:t>
      </w:r>
      <w:r w:rsidRPr="00861FE9">
        <w:rPr>
          <w:b/>
          <w:bCs/>
          <w:color w:val="ED7D31" w:themeColor="accent2"/>
        </w:rPr>
        <w:t>[21][22][25][26][28][29]</w:t>
      </w:r>
      <w:r w:rsidRPr="00861FE9">
        <w:rPr>
          <w:color w:val="ED7D31" w:themeColor="accent2"/>
        </w:rPr>
        <w:t>. The comparison makes explicit the specific positioning of FDM — and of this thesis — within the broader additive manufacturing technology landscape.</w:t>
      </w:r>
    </w:p>
    <w:p w14:paraId="2C968E52" w14:textId="77777777" w:rsidR="00D05C3F" w:rsidRDefault="00D05C3F">
      <w:pPr>
        <w:spacing w:after="120"/>
      </w:pPr>
    </w:p>
    <w:p w14:paraId="26DEB5A9" w14:textId="77777777" w:rsidR="00D05C3F" w:rsidRDefault="00000000">
      <w:pPr>
        <w:spacing w:after="80"/>
        <w:jc w:val="center"/>
      </w:pPr>
      <w:r>
        <w:rPr>
          <w:i/>
          <w:iCs/>
          <w:sz w:val="20"/>
          <w:szCs w:val="20"/>
        </w:rPr>
        <w:t>Table 1.1 – Comparative overview of FDM, SLA, and SLS 3D printing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600"/>
      </w:tblGrid>
      <w:tr w:rsidR="00D05C3F" w14:paraId="79223129" w14:textId="77777777">
        <w:tc>
          <w:tcPr>
            <w:tcW w:w="1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48EBCE04" w14:textId="77777777" w:rsidR="00D05C3F" w:rsidRDefault="00000000">
            <w:pPr>
              <w:jc w:val="center"/>
            </w:pPr>
            <w:r>
              <w:rPr>
                <w:b/>
                <w:bCs/>
                <w:color w:val="FFFFFF"/>
                <w:sz w:val="20"/>
                <w:szCs w:val="20"/>
              </w:rPr>
              <w:t>Criterion</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194B3D15" w14:textId="77777777" w:rsidR="00D05C3F" w:rsidRDefault="00000000">
            <w:pPr>
              <w:jc w:val="center"/>
            </w:pPr>
            <w:r>
              <w:rPr>
                <w:b/>
                <w:bCs/>
                <w:color w:val="FFFFFF"/>
                <w:sz w:val="20"/>
                <w:szCs w:val="20"/>
              </w:rPr>
              <w:t>FDM</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767308FF" w14:textId="77777777" w:rsidR="00D05C3F" w:rsidRDefault="00000000">
            <w:pPr>
              <w:jc w:val="center"/>
            </w:pPr>
            <w:r>
              <w:rPr>
                <w:b/>
                <w:bCs/>
                <w:color w:val="FFFFFF"/>
                <w:sz w:val="20"/>
                <w:szCs w:val="20"/>
              </w:rPr>
              <w:t>SLA</w:t>
            </w:r>
          </w:p>
        </w:tc>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vAlign w:val="center"/>
          </w:tcPr>
          <w:p w14:paraId="362D0B95" w14:textId="77777777" w:rsidR="00D05C3F" w:rsidRDefault="00000000">
            <w:pPr>
              <w:jc w:val="center"/>
            </w:pPr>
            <w:r>
              <w:rPr>
                <w:b/>
                <w:bCs/>
                <w:color w:val="FFFFFF"/>
                <w:sz w:val="20"/>
                <w:szCs w:val="20"/>
              </w:rPr>
              <w:t>SLS</w:t>
            </w:r>
          </w:p>
        </w:tc>
      </w:tr>
      <w:tr w:rsidR="00D05C3F" w14:paraId="008CF9C5"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FC4F086" w14:textId="77777777" w:rsidR="00D05C3F" w:rsidRDefault="00000000">
            <w:r>
              <w:rPr>
                <w:b/>
                <w:bCs/>
                <w:sz w:val="20"/>
                <w:szCs w:val="20"/>
              </w:rPr>
              <w:t>Working principle</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314C1D9F" w14:textId="77777777" w:rsidR="00D05C3F" w:rsidRDefault="00000000">
            <w:pPr>
              <w:jc w:val="both"/>
            </w:pPr>
            <w:r>
              <w:rPr>
                <w:sz w:val="20"/>
                <w:szCs w:val="20"/>
              </w:rPr>
              <w:t>Thermoplastic filament melted &amp; extruded layer by layer</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019278A" w14:textId="77777777" w:rsidR="00D05C3F" w:rsidRDefault="00000000">
            <w:pPr>
              <w:jc w:val="both"/>
            </w:pPr>
            <w:r>
              <w:rPr>
                <w:sz w:val="20"/>
                <w:szCs w:val="20"/>
              </w:rPr>
              <w:t>UV laser cures liquid photopolymer resin layer by layer</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700EBD9C" w14:textId="77777777" w:rsidR="00D05C3F" w:rsidRDefault="00000000">
            <w:pPr>
              <w:jc w:val="both"/>
            </w:pPr>
            <w:r>
              <w:rPr>
                <w:sz w:val="20"/>
                <w:szCs w:val="20"/>
              </w:rPr>
              <w:t>CO₂ laser sinters powder particles layer by layer</w:t>
            </w:r>
          </w:p>
        </w:tc>
      </w:tr>
      <w:tr w:rsidR="00D05C3F" w14:paraId="23A1B1C5"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56A3DA" w14:textId="77777777" w:rsidR="00D05C3F" w:rsidRDefault="00000000">
            <w:r>
              <w:rPr>
                <w:b/>
                <w:bCs/>
                <w:sz w:val="20"/>
                <w:szCs w:val="20"/>
              </w:rPr>
              <w:t>Primary materials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D8BF43" w14:textId="77777777" w:rsidR="00D05C3F" w:rsidRPr="00D875BF" w:rsidRDefault="00000000">
            <w:pPr>
              <w:jc w:val="both"/>
              <w:rPr>
                <w:lang w:val="fr-FR"/>
              </w:rPr>
            </w:pPr>
            <w:r w:rsidRPr="00D875BF">
              <w:rPr>
                <w:sz w:val="20"/>
                <w:szCs w:val="20"/>
                <w:lang w:val="fr-FR"/>
              </w:rPr>
              <w:t>PLA, ABS, PETG, Nylon, TPU</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2E1CD8" w14:textId="77777777" w:rsidR="00D05C3F" w:rsidRDefault="00000000">
            <w:pPr>
              <w:jc w:val="both"/>
            </w:pPr>
            <w:r>
              <w:rPr>
                <w:sz w:val="20"/>
                <w:szCs w:val="20"/>
              </w:rPr>
              <w:t>Photopolymer resins (standard, engineering, dental)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156A73" w14:textId="77777777" w:rsidR="00D05C3F" w:rsidRDefault="00000000">
            <w:pPr>
              <w:jc w:val="both"/>
            </w:pPr>
            <w:r>
              <w:rPr>
                <w:sz w:val="20"/>
                <w:szCs w:val="20"/>
              </w:rPr>
              <w:t>Polyamide 12 (PA12), Nylon, PEEK, metal powders</w:t>
            </w:r>
          </w:p>
        </w:tc>
      </w:tr>
      <w:tr w:rsidR="00D05C3F" w14:paraId="641A90A0"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0D2D8CF0" w14:textId="77777777" w:rsidR="00D05C3F" w:rsidRDefault="00000000">
            <w:r>
              <w:rPr>
                <w:b/>
                <w:bCs/>
                <w:sz w:val="20"/>
                <w:szCs w:val="20"/>
              </w:rPr>
              <w:t>Layer resolution</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78499C6" w14:textId="77777777" w:rsidR="00D05C3F" w:rsidRDefault="00000000">
            <w:pPr>
              <w:jc w:val="both"/>
            </w:pPr>
            <w:r>
              <w:rPr>
                <w:sz w:val="20"/>
                <w:szCs w:val="20"/>
              </w:rPr>
              <w:t>100–300 µm (typical)</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50BF874" w14:textId="77777777" w:rsidR="00D05C3F" w:rsidRDefault="00000000">
            <w:pPr>
              <w:jc w:val="both"/>
            </w:pPr>
            <w:r>
              <w:rPr>
                <w:sz w:val="20"/>
                <w:szCs w:val="20"/>
              </w:rPr>
              <w:t>25–100 µm</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7474478" w14:textId="77777777" w:rsidR="00D05C3F" w:rsidRDefault="00000000">
            <w:pPr>
              <w:jc w:val="both"/>
            </w:pPr>
            <w:r>
              <w:rPr>
                <w:sz w:val="20"/>
                <w:szCs w:val="20"/>
              </w:rPr>
              <w:t>80–150 µm</w:t>
            </w:r>
          </w:p>
        </w:tc>
      </w:tr>
      <w:tr w:rsidR="00D05C3F" w14:paraId="45A5CBC9"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2B2C94" w14:textId="77777777" w:rsidR="00D05C3F" w:rsidRDefault="00000000">
            <w:r>
              <w:rPr>
                <w:b/>
                <w:bCs/>
                <w:sz w:val="20"/>
                <w:szCs w:val="20"/>
              </w:rPr>
              <w:t>Surface finish</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5A1D88" w14:textId="77777777" w:rsidR="00D05C3F" w:rsidRDefault="00000000">
            <w:pPr>
              <w:jc w:val="both"/>
            </w:pPr>
            <w:r>
              <w:rPr>
                <w:sz w:val="20"/>
                <w:szCs w:val="20"/>
              </w:rPr>
              <w:t>Moderate (visible layer lines)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2BB63C" w14:textId="77777777" w:rsidR="00D05C3F" w:rsidRDefault="00000000">
            <w:pPr>
              <w:jc w:val="both"/>
            </w:pPr>
            <w:r>
              <w:rPr>
                <w:sz w:val="20"/>
                <w:szCs w:val="20"/>
              </w:rPr>
              <w:t>Excellent (smooth, high detail)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FAEEBE" w14:textId="77777777" w:rsidR="00D05C3F" w:rsidRDefault="00000000">
            <w:pPr>
              <w:jc w:val="both"/>
            </w:pPr>
            <w:r>
              <w:rPr>
                <w:sz w:val="20"/>
                <w:szCs w:val="20"/>
              </w:rPr>
              <w:t>Moderate (grainy texture)</w:t>
            </w:r>
          </w:p>
        </w:tc>
      </w:tr>
      <w:tr w:rsidR="00D05C3F" w14:paraId="422366F4"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0487B2EB" w14:textId="77777777" w:rsidR="00D05C3F" w:rsidRDefault="00000000">
            <w:r>
              <w:rPr>
                <w:b/>
                <w:bCs/>
                <w:sz w:val="20"/>
                <w:szCs w:val="20"/>
              </w:rPr>
              <w:t>Support structures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64E78D21" w14:textId="77777777" w:rsidR="00D05C3F" w:rsidRDefault="00000000">
            <w:pPr>
              <w:jc w:val="both"/>
            </w:pPr>
            <w:r>
              <w:rPr>
                <w:sz w:val="20"/>
                <w:szCs w:val="20"/>
              </w:rPr>
              <w:t>Required (removable manually)</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21E07D4" w14:textId="77777777" w:rsidR="00D05C3F" w:rsidRDefault="00000000">
            <w:pPr>
              <w:jc w:val="both"/>
            </w:pPr>
            <w:r>
              <w:rPr>
                <w:sz w:val="20"/>
                <w:szCs w:val="20"/>
              </w:rPr>
              <w:t>Required (breakaway/soluble)</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751F0583" w14:textId="77777777" w:rsidR="00D05C3F" w:rsidRDefault="00000000">
            <w:pPr>
              <w:jc w:val="both"/>
            </w:pPr>
            <w:r>
              <w:rPr>
                <w:sz w:val="20"/>
                <w:szCs w:val="20"/>
              </w:rPr>
              <w:t>Not required (</w:t>
            </w:r>
            <w:proofErr w:type="spellStart"/>
            <w:r>
              <w:rPr>
                <w:sz w:val="20"/>
                <w:szCs w:val="20"/>
              </w:rPr>
              <w:t>unsintered</w:t>
            </w:r>
            <w:proofErr w:type="spellEnd"/>
            <w:r>
              <w:rPr>
                <w:sz w:val="20"/>
                <w:szCs w:val="20"/>
              </w:rPr>
              <w:t xml:space="preserve"> powder acts as support)</w:t>
            </w:r>
          </w:p>
        </w:tc>
      </w:tr>
      <w:tr w:rsidR="00D05C3F" w14:paraId="08FABAF7"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317BED" w14:textId="77777777" w:rsidR="00D05C3F" w:rsidRPr="00861FE9" w:rsidRDefault="00000000">
            <w:pPr>
              <w:rPr>
                <w:color w:val="ED7D31" w:themeColor="accent2"/>
              </w:rPr>
            </w:pPr>
            <w:r w:rsidRPr="00861FE9">
              <w:rPr>
                <w:b/>
                <w:bCs/>
                <w:color w:val="ED7D31" w:themeColor="accent2"/>
                <w:sz w:val="20"/>
                <w:szCs w:val="20"/>
              </w:rPr>
              <w:t>Equipment cost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6C1267" w14:textId="77777777" w:rsidR="00D05C3F" w:rsidRPr="00861FE9" w:rsidRDefault="00000000">
            <w:pPr>
              <w:jc w:val="both"/>
              <w:rPr>
                <w:color w:val="ED7D31" w:themeColor="accent2"/>
              </w:rPr>
            </w:pPr>
            <w:r w:rsidRPr="00861FE9">
              <w:rPr>
                <w:color w:val="ED7D31" w:themeColor="accent2"/>
                <w:sz w:val="20"/>
                <w:szCs w:val="20"/>
              </w:rPr>
              <w:t>Low (€200 – €10,000+)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0AFB6B" w14:textId="77777777" w:rsidR="00D05C3F" w:rsidRPr="00861FE9" w:rsidRDefault="00000000">
            <w:pPr>
              <w:jc w:val="both"/>
              <w:rPr>
                <w:color w:val="ED7D31" w:themeColor="accent2"/>
              </w:rPr>
            </w:pPr>
            <w:r w:rsidRPr="00861FE9">
              <w:rPr>
                <w:color w:val="ED7D31" w:themeColor="accent2"/>
                <w:sz w:val="20"/>
                <w:szCs w:val="20"/>
              </w:rPr>
              <w:t>Medium (€500 – €50,000+)</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5C1768" w14:textId="77777777" w:rsidR="00D05C3F" w:rsidRPr="00861FE9" w:rsidRDefault="00000000">
            <w:pPr>
              <w:jc w:val="both"/>
              <w:rPr>
                <w:color w:val="ED7D31" w:themeColor="accent2"/>
              </w:rPr>
            </w:pPr>
            <w:r w:rsidRPr="00861FE9">
              <w:rPr>
                <w:color w:val="ED7D31" w:themeColor="accent2"/>
                <w:sz w:val="20"/>
                <w:szCs w:val="20"/>
              </w:rPr>
              <w:t>High (€5,000 – €250,000+)</w:t>
            </w:r>
          </w:p>
        </w:tc>
      </w:tr>
      <w:tr w:rsidR="00D05C3F" w14:paraId="55EBAEC2"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15E34277" w14:textId="77777777" w:rsidR="00D05C3F" w:rsidRPr="00861FE9" w:rsidRDefault="00000000">
            <w:pPr>
              <w:rPr>
                <w:color w:val="ED7D31" w:themeColor="accent2"/>
              </w:rPr>
            </w:pPr>
            <w:r w:rsidRPr="00861FE9">
              <w:rPr>
                <w:b/>
                <w:bCs/>
                <w:color w:val="ED7D31" w:themeColor="accent2"/>
                <w:sz w:val="20"/>
                <w:szCs w:val="20"/>
              </w:rPr>
              <w:t>Material cost</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4A799391" w14:textId="77777777" w:rsidR="00D05C3F" w:rsidRPr="00861FE9" w:rsidRDefault="00000000">
            <w:pPr>
              <w:jc w:val="both"/>
              <w:rPr>
                <w:color w:val="ED7D31" w:themeColor="accent2"/>
              </w:rPr>
            </w:pPr>
            <w:r w:rsidRPr="00861FE9">
              <w:rPr>
                <w:color w:val="ED7D31" w:themeColor="accent2"/>
                <w:sz w:val="20"/>
                <w:szCs w:val="20"/>
              </w:rPr>
              <w:t>Low (€20–€50/kg filament)</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351EEE54" w14:textId="77777777" w:rsidR="00D05C3F" w:rsidRPr="00861FE9" w:rsidRDefault="00000000">
            <w:pPr>
              <w:jc w:val="both"/>
              <w:rPr>
                <w:color w:val="ED7D31" w:themeColor="accent2"/>
              </w:rPr>
            </w:pPr>
            <w:r w:rsidRPr="00861FE9">
              <w:rPr>
                <w:color w:val="ED7D31" w:themeColor="accent2"/>
                <w:sz w:val="20"/>
                <w:szCs w:val="20"/>
              </w:rPr>
              <w:t>Medium (€50–€200/L resin)</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7EA9DF62" w14:textId="77777777" w:rsidR="00D05C3F" w:rsidRPr="00861FE9" w:rsidRDefault="00000000">
            <w:pPr>
              <w:jc w:val="both"/>
              <w:rPr>
                <w:color w:val="ED7D31" w:themeColor="accent2"/>
              </w:rPr>
            </w:pPr>
            <w:r w:rsidRPr="00861FE9">
              <w:rPr>
                <w:color w:val="ED7D31" w:themeColor="accent2"/>
                <w:sz w:val="20"/>
                <w:szCs w:val="20"/>
              </w:rPr>
              <w:t>High (€50–€120/kg powder)</w:t>
            </w:r>
          </w:p>
        </w:tc>
      </w:tr>
      <w:tr w:rsidR="00D05C3F" w14:paraId="16F56016"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9C2191" w14:textId="77777777" w:rsidR="00D05C3F" w:rsidRPr="00F403E1" w:rsidRDefault="00000000">
            <w:pPr>
              <w:rPr>
                <w:color w:val="ED7D31" w:themeColor="accent2"/>
              </w:rPr>
            </w:pPr>
            <w:r w:rsidRPr="00F403E1">
              <w:rPr>
                <w:b/>
                <w:bCs/>
                <w:color w:val="ED7D31" w:themeColor="accent2"/>
                <w:sz w:val="20"/>
                <w:szCs w:val="20"/>
              </w:rPr>
              <w:t>Build volume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C09063" w14:textId="77777777" w:rsidR="00D05C3F" w:rsidRPr="00F403E1" w:rsidRDefault="00000000">
            <w:pPr>
              <w:jc w:val="both"/>
              <w:rPr>
                <w:color w:val="ED7D31" w:themeColor="accent2"/>
              </w:rPr>
            </w:pPr>
            <w:r w:rsidRPr="00F403E1">
              <w:rPr>
                <w:color w:val="ED7D31" w:themeColor="accent2"/>
                <w:sz w:val="20"/>
                <w:szCs w:val="20"/>
              </w:rPr>
              <w:t>Large (up to 300×300×400 mm)</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702890" w14:textId="77777777" w:rsidR="00D05C3F" w:rsidRPr="00F403E1" w:rsidRDefault="00000000">
            <w:pPr>
              <w:jc w:val="both"/>
              <w:rPr>
                <w:color w:val="ED7D31" w:themeColor="accent2"/>
              </w:rPr>
            </w:pPr>
            <w:r w:rsidRPr="00F403E1">
              <w:rPr>
                <w:color w:val="ED7D31" w:themeColor="accent2"/>
                <w:sz w:val="20"/>
                <w:szCs w:val="20"/>
              </w:rPr>
              <w:t>Medium (145×145×175 mm typical)</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D10D3B" w14:textId="77777777" w:rsidR="00D05C3F" w:rsidRPr="00F403E1" w:rsidRDefault="00000000">
            <w:pPr>
              <w:jc w:val="both"/>
              <w:rPr>
                <w:color w:val="ED7D31" w:themeColor="accent2"/>
              </w:rPr>
            </w:pPr>
            <w:r w:rsidRPr="00F403E1">
              <w:rPr>
                <w:color w:val="ED7D31" w:themeColor="accent2"/>
                <w:sz w:val="20"/>
                <w:szCs w:val="20"/>
              </w:rPr>
              <w:t>Large (up to 380×380×580 mm)</w:t>
            </w:r>
          </w:p>
        </w:tc>
      </w:tr>
      <w:tr w:rsidR="00D05C3F" w14:paraId="63DB3488"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5E73E2B0" w14:textId="77777777" w:rsidR="00D05C3F" w:rsidRPr="00AB6308" w:rsidRDefault="00000000">
            <w:pPr>
              <w:rPr>
                <w:color w:val="ED7D31" w:themeColor="accent2"/>
              </w:rPr>
            </w:pPr>
            <w:r w:rsidRPr="00AB6308">
              <w:rPr>
                <w:b/>
                <w:bCs/>
                <w:color w:val="ED7D31" w:themeColor="accent2"/>
                <w:sz w:val="20"/>
                <w:szCs w:val="20"/>
              </w:rPr>
              <w:t>Mechanical properties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1ECC6AB5" w14:textId="77777777" w:rsidR="00D05C3F" w:rsidRDefault="00000000">
            <w:pPr>
              <w:jc w:val="both"/>
            </w:pPr>
            <w:r>
              <w:rPr>
                <w:sz w:val="20"/>
                <w:szCs w:val="20"/>
              </w:rPr>
              <w:t xml:space="preserve">Good (isotropic if </w:t>
            </w:r>
            <w:proofErr w:type="spellStart"/>
            <w:r>
              <w:rPr>
                <w:sz w:val="20"/>
                <w:szCs w:val="20"/>
              </w:rPr>
              <w:t>optimised</w:t>
            </w:r>
            <w:proofErr w:type="spellEnd"/>
            <w:r>
              <w:rPr>
                <w:sz w:val="20"/>
                <w:szCs w:val="20"/>
              </w:rPr>
              <w:t>)</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3266365" w14:textId="77777777" w:rsidR="00D05C3F" w:rsidRDefault="00000000">
            <w:pPr>
              <w:jc w:val="both"/>
            </w:pPr>
            <w:r>
              <w:rPr>
                <w:sz w:val="20"/>
                <w:szCs w:val="20"/>
              </w:rPr>
              <w:t>Moderate (brittle under UV), good with engineering resins</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12BFD1AA" w14:textId="77777777" w:rsidR="00D05C3F" w:rsidRDefault="00000000">
            <w:pPr>
              <w:jc w:val="both"/>
            </w:pPr>
            <w:r>
              <w:rPr>
                <w:sz w:val="20"/>
                <w:szCs w:val="20"/>
              </w:rPr>
              <w:t>Excellent (isotropic, no warping)</w:t>
            </w:r>
          </w:p>
        </w:tc>
      </w:tr>
      <w:tr w:rsidR="00D05C3F" w14:paraId="0B77EAA9"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7B3413" w14:textId="77777777" w:rsidR="00D05C3F" w:rsidRDefault="00000000">
            <w:r>
              <w:rPr>
                <w:b/>
                <w:bCs/>
                <w:sz w:val="20"/>
                <w:szCs w:val="20"/>
              </w:rPr>
              <w:lastRenderedPageBreak/>
              <w:t>Main advantages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89A19A" w14:textId="77777777" w:rsidR="00D05C3F" w:rsidRDefault="00000000">
            <w:pPr>
              <w:jc w:val="both"/>
            </w:pPr>
            <w:r>
              <w:rPr>
                <w:sz w:val="20"/>
                <w:szCs w:val="20"/>
              </w:rPr>
              <w:t>Low cost, wide material range, scalable build volume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0995F1" w14:textId="77777777" w:rsidR="00D05C3F" w:rsidRDefault="00000000">
            <w:pPr>
              <w:jc w:val="both"/>
            </w:pPr>
            <w:r>
              <w:rPr>
                <w:sz w:val="20"/>
                <w:szCs w:val="20"/>
              </w:rPr>
              <w:t>Highest dimensional accuracy and surface quality</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CA2846" w14:textId="77777777" w:rsidR="00D05C3F" w:rsidRDefault="00000000">
            <w:pPr>
              <w:jc w:val="both"/>
            </w:pPr>
            <w:r>
              <w:rPr>
                <w:sz w:val="20"/>
                <w:szCs w:val="20"/>
              </w:rPr>
              <w:t>No supports needed, isotropic parts, complex geometries</w:t>
            </w:r>
          </w:p>
        </w:tc>
      </w:tr>
      <w:tr w:rsidR="00D05C3F" w14:paraId="45EA0DBD"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12721815" w14:textId="77777777" w:rsidR="00D05C3F" w:rsidRDefault="00000000">
            <w:r>
              <w:rPr>
                <w:b/>
                <w:bCs/>
                <w:sz w:val="20"/>
                <w:szCs w:val="20"/>
              </w:rPr>
              <w:t>Main limitations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3E12AA6E" w14:textId="77777777" w:rsidR="00D05C3F" w:rsidRDefault="00000000">
            <w:pPr>
              <w:jc w:val="both"/>
            </w:pPr>
            <w:r>
              <w:rPr>
                <w:sz w:val="20"/>
                <w:szCs w:val="20"/>
              </w:rPr>
              <w:t>Visible layer lines, anisotropic strength, prone to warping/clogging</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6D211EC4" w14:textId="77777777" w:rsidR="00D05C3F" w:rsidRDefault="00000000">
            <w:pPr>
              <w:jc w:val="both"/>
            </w:pPr>
            <w:r>
              <w:rPr>
                <w:sz w:val="20"/>
                <w:szCs w:val="20"/>
              </w:rPr>
              <w:t>Resin brittle, post-curing required, limited material range</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2AA6391E" w14:textId="77777777" w:rsidR="00D05C3F" w:rsidRDefault="00000000">
            <w:pPr>
              <w:jc w:val="both"/>
            </w:pPr>
            <w:r>
              <w:rPr>
                <w:sz w:val="20"/>
                <w:szCs w:val="20"/>
              </w:rPr>
              <w:t>High cost, rough surface, post-processing required</w:t>
            </w:r>
          </w:p>
        </w:tc>
      </w:tr>
      <w:tr w:rsidR="00D05C3F" w14:paraId="4C9778F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1DDD55" w14:textId="77777777" w:rsidR="00D05C3F" w:rsidRDefault="00000000">
            <w:r>
              <w:rPr>
                <w:b/>
                <w:bCs/>
                <w:sz w:val="20"/>
                <w:szCs w:val="20"/>
              </w:rPr>
              <w:t>Key application domains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C0DF44" w14:textId="77777777" w:rsidR="00D05C3F" w:rsidRDefault="00000000">
            <w:pPr>
              <w:jc w:val="both"/>
            </w:pPr>
            <w:r>
              <w:rPr>
                <w:sz w:val="20"/>
                <w:szCs w:val="20"/>
              </w:rPr>
              <w:t>Prototyping, education, functional parts, IoT enclosures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42284B" w14:textId="77777777" w:rsidR="00D05C3F" w:rsidRDefault="00000000">
            <w:pPr>
              <w:jc w:val="both"/>
            </w:pPr>
            <w:r>
              <w:rPr>
                <w:sz w:val="20"/>
                <w:szCs w:val="20"/>
              </w:rPr>
              <w:t xml:space="preserve">Dental, </w:t>
            </w:r>
            <w:proofErr w:type="spellStart"/>
            <w:r>
              <w:rPr>
                <w:sz w:val="20"/>
                <w:szCs w:val="20"/>
              </w:rPr>
              <w:t>jewellery</w:t>
            </w:r>
            <w:proofErr w:type="spellEnd"/>
            <w:r>
              <w:rPr>
                <w:sz w:val="20"/>
                <w:szCs w:val="20"/>
              </w:rPr>
              <w:t>, fine-detail prototypes, medical devices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109100" w14:textId="77777777" w:rsidR="00D05C3F" w:rsidRDefault="00000000">
            <w:pPr>
              <w:jc w:val="both"/>
            </w:pPr>
            <w:r>
              <w:rPr>
                <w:sz w:val="20"/>
                <w:szCs w:val="20"/>
              </w:rPr>
              <w:t>Aerospace, automotive, functional end-use parts</w:t>
            </w:r>
          </w:p>
        </w:tc>
      </w:tr>
      <w:tr w:rsidR="00D05C3F" w14:paraId="77E83439" w14:textId="77777777">
        <w:tc>
          <w:tcPr>
            <w:tcW w:w="1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6A08EFB3" w14:textId="77777777" w:rsidR="00D05C3F" w:rsidRPr="00AB6308" w:rsidRDefault="00000000">
            <w:pPr>
              <w:rPr>
                <w:color w:val="EE0000"/>
              </w:rPr>
            </w:pPr>
            <w:r w:rsidRPr="00AB6308">
              <w:rPr>
                <w:b/>
                <w:bCs/>
                <w:color w:val="EE0000"/>
                <w:sz w:val="20"/>
                <w:szCs w:val="20"/>
              </w:rPr>
              <w:t>Relevance to this thesis</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73E0A0E8" w14:textId="77777777" w:rsidR="00D05C3F" w:rsidRPr="00AB6308" w:rsidRDefault="00000000">
            <w:pPr>
              <w:jc w:val="both"/>
              <w:rPr>
                <w:color w:val="EE0000"/>
              </w:rPr>
            </w:pPr>
            <w:r w:rsidRPr="00AB6308">
              <w:rPr>
                <w:color w:val="EE0000"/>
                <w:sz w:val="20"/>
                <w:szCs w:val="20"/>
              </w:rPr>
              <w:t>✓ Primary technology — FDM printer is the physical asset of the digital twin</w:t>
            </w:r>
          </w:p>
        </w:tc>
        <w:tc>
          <w:tcPr>
            <w:tcW w:w="24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0B89E04B" w14:textId="77777777" w:rsidR="00D05C3F" w:rsidRPr="00AB6308" w:rsidRDefault="00000000">
            <w:pPr>
              <w:jc w:val="both"/>
              <w:rPr>
                <w:color w:val="EE0000"/>
              </w:rPr>
            </w:pPr>
            <w:r w:rsidRPr="00AB6308">
              <w:rPr>
                <w:color w:val="EE0000"/>
                <w:sz w:val="20"/>
                <w:szCs w:val="20"/>
              </w:rPr>
              <w:t>— Not studied (different failure modes)</w:t>
            </w:r>
          </w:p>
        </w:tc>
        <w:tc>
          <w:tcPr>
            <w:tcW w:w="2600" w:type="dxa"/>
            <w:tcBorders>
              <w:top w:val="single" w:sz="4" w:space="0" w:color="CCCCCC"/>
              <w:left w:val="single" w:sz="4" w:space="0" w:color="CCCCCC"/>
              <w:bottom w:val="single" w:sz="4" w:space="0" w:color="CCCCCC"/>
              <w:right w:val="single" w:sz="4" w:space="0" w:color="CCCCCC"/>
            </w:tcBorders>
            <w:shd w:val="clear" w:color="auto" w:fill="EBF3FC"/>
            <w:tcMar>
              <w:top w:w="80" w:type="dxa"/>
              <w:left w:w="120" w:type="dxa"/>
              <w:bottom w:w="80" w:type="dxa"/>
              <w:right w:w="120" w:type="dxa"/>
            </w:tcMar>
            <w:vAlign w:val="center"/>
          </w:tcPr>
          <w:p w14:paraId="436E4209" w14:textId="77777777" w:rsidR="00D05C3F" w:rsidRPr="00AB6308" w:rsidRDefault="00000000">
            <w:pPr>
              <w:jc w:val="both"/>
              <w:rPr>
                <w:color w:val="EE0000"/>
              </w:rPr>
            </w:pPr>
            <w:r w:rsidRPr="00AB6308">
              <w:rPr>
                <w:color w:val="EE0000"/>
                <w:sz w:val="20"/>
                <w:szCs w:val="20"/>
              </w:rPr>
              <w:t>— Not studied (powder handling environment differs significantly)</w:t>
            </w:r>
          </w:p>
        </w:tc>
      </w:tr>
    </w:tbl>
    <w:p w14:paraId="2228708F" w14:textId="0E838C2D" w:rsidR="00D05C3F" w:rsidRPr="00CC10C3" w:rsidRDefault="00CC10C3">
      <w:pPr>
        <w:spacing w:after="120"/>
        <w:rPr>
          <w:color w:val="ED7D31" w:themeColor="accent2"/>
        </w:rPr>
      </w:pPr>
      <w:r w:rsidRPr="00CC10C3">
        <w:rPr>
          <w:color w:val="ED7D31" w:themeColor="accent2"/>
        </w:rPr>
        <w:t>More ?</w:t>
      </w:r>
    </w:p>
    <w:p w14:paraId="0472EF8D" w14:textId="77777777" w:rsidR="00D05C3F" w:rsidRDefault="00D05C3F">
      <w:pPr>
        <w:spacing w:after="120"/>
      </w:pPr>
    </w:p>
    <w:p w14:paraId="485CA048" w14:textId="7B48BF8B" w:rsidR="00D05C3F" w:rsidRDefault="00000000">
      <w:pPr>
        <w:spacing w:after="160" w:line="276" w:lineRule="auto"/>
        <w:jc w:val="both"/>
      </w:pPr>
      <w:r>
        <w:t xml:space="preserve">From Table 1.1, several conclusions emerge that directly motivate the present work. First, </w:t>
      </w:r>
      <w:r w:rsidRPr="00AB6308">
        <w:rPr>
          <w:b/>
          <w:bCs/>
          <w:color w:val="ED7D31" w:themeColor="accent2"/>
        </w:rPr>
        <w:t>FDM is the only technology with a cost profile accessible to SMEs, educational institutions, and small-scale manufacturing environments</w:t>
      </w:r>
      <w:r w:rsidRPr="00AB6308">
        <w:rPr>
          <w:color w:val="ED7D31" w:themeColor="accent2"/>
        </w:rPr>
        <w:t xml:space="preserve"> </w:t>
      </w:r>
      <w:r>
        <w:t xml:space="preserve">— </w:t>
      </w:r>
      <w:r w:rsidRPr="00AB6308">
        <w:rPr>
          <w:color w:val="FFC000" w:themeColor="accent4"/>
        </w:rPr>
        <w:t>the primary contexts in which a low-cost digital twin provides maximum value</w:t>
      </w:r>
      <w:r>
        <w:t xml:space="preserve">. Second, </w:t>
      </w:r>
      <w:r w:rsidRPr="00AB6308">
        <w:rPr>
          <w:color w:val="70AD47" w:themeColor="accent6"/>
        </w:rPr>
        <w:t>FDM is simultaneously the technology with the highest operational failure rates and the widest range of identifiable, sensor-observable failure modes</w:t>
      </w:r>
      <w:r>
        <w:t xml:space="preserve"> </w:t>
      </w:r>
      <w:r w:rsidRPr="00AB6308">
        <w:rPr>
          <w:color w:val="70AD47" w:themeColor="accent6"/>
        </w:rPr>
        <w:t>(thermal anomalies, vibration signatures of nozzle clogging, filament grinding, belt resonance)</w:t>
      </w:r>
      <w:r>
        <w:t xml:space="preserve">, making it </w:t>
      </w:r>
      <w:r w:rsidRPr="00AB6308">
        <w:rPr>
          <w:b/>
          <w:bCs/>
          <w:color w:val="70AD47" w:themeColor="accent6"/>
        </w:rPr>
        <w:t>the most tractable candidate for digital twin-based predictive maintenance</w:t>
      </w:r>
      <w:r>
        <w:t xml:space="preserve"> research. Third, </w:t>
      </w:r>
      <w:r w:rsidRPr="00AB6308">
        <w:rPr>
          <w:color w:val="ED7D31" w:themeColor="accent2"/>
        </w:rPr>
        <w:t xml:space="preserve">the open-source firmware and communication ecosystem of FDM printers (Marlin, G-code, MQTT-compatible controllers) </w:t>
      </w:r>
      <w:r w:rsidR="00AB6308">
        <w:rPr>
          <w:color w:val="ED7D31" w:themeColor="accent2"/>
        </w:rPr>
        <w:t xml:space="preserve">[As I mentioned before not all printer are based on open-source firmware] </w:t>
      </w:r>
      <w:r w:rsidRPr="00AB6308">
        <w:rPr>
          <w:color w:val="ED7D31" w:themeColor="accent2"/>
        </w:rPr>
        <w:t>facilitates sensor integration in ways not available for proprietary SLA or SLS systems</w:t>
      </w:r>
      <w:r>
        <w:t>.</w:t>
      </w:r>
    </w:p>
    <w:p w14:paraId="247DBC81" w14:textId="77777777" w:rsidR="00D05C3F" w:rsidRPr="00AB6308" w:rsidRDefault="00000000">
      <w:pPr>
        <w:spacing w:after="160" w:line="276" w:lineRule="auto"/>
        <w:jc w:val="both"/>
        <w:rPr>
          <w:color w:val="ED7D31" w:themeColor="accent2"/>
        </w:rPr>
      </w:pPr>
      <w:r w:rsidRPr="00AB6308">
        <w:rPr>
          <w:color w:val="ED7D31" w:themeColor="accent2"/>
        </w:rPr>
        <w:t xml:space="preserve">SLA and SLS are noted here for completeness and for the comparative context they provide. Future extensions of this work could, in principle, adapt the digital twin architecture to these technologies — particularly SLS, where the high cost of machine downtime and the complexity of powder-bed thermal management create strong incentives for predictive monitoring </w:t>
      </w:r>
      <w:r w:rsidRPr="00AB6308">
        <w:rPr>
          <w:b/>
          <w:bCs/>
          <w:color w:val="ED7D31" w:themeColor="accent2"/>
        </w:rPr>
        <w:t>[29]</w:t>
      </w:r>
      <w:r w:rsidRPr="00AB6308">
        <w:rPr>
          <w:color w:val="ED7D31" w:themeColor="accent2"/>
        </w:rPr>
        <w:t>. Such extensions, however, lie beyond the scope of the present thesis.</w:t>
      </w:r>
    </w:p>
    <w:p w14:paraId="06B56C3F" w14:textId="77777777" w:rsidR="00D05C3F" w:rsidRDefault="00D05C3F">
      <w:pPr>
        <w:pBdr>
          <w:bottom w:val="single" w:sz="4" w:space="1" w:color="AAAAAA"/>
        </w:pBdr>
        <w:spacing w:before="160" w:after="160"/>
      </w:pPr>
    </w:p>
    <w:p w14:paraId="79065605" w14:textId="77777777" w:rsidR="00D05C3F" w:rsidRDefault="00000000">
      <w:pPr>
        <w:pStyle w:val="Titre2"/>
      </w:pPr>
      <w:r>
        <w:t>References for Section 1.3 (New references — continue from [20])</w:t>
      </w:r>
    </w:p>
    <w:p w14:paraId="031EF34F" w14:textId="77777777" w:rsidR="00D05C3F" w:rsidRDefault="00000000">
      <w:pPr>
        <w:spacing w:after="120"/>
        <w:jc w:val="both"/>
      </w:pPr>
      <w:r>
        <w:rPr>
          <w:i/>
          <w:iCs/>
        </w:rPr>
        <w:t>References [1]–[20] are as listed in the assembled document. The following are new references introduced in Section 1.3:</w:t>
      </w:r>
    </w:p>
    <w:p w14:paraId="5568C9FB" w14:textId="77777777" w:rsidR="00D05C3F" w:rsidRDefault="00D05C3F">
      <w:pPr>
        <w:spacing w:after="120"/>
      </w:pPr>
    </w:p>
    <w:p w14:paraId="30198970" w14:textId="77777777" w:rsidR="00D05C3F" w:rsidRDefault="00000000">
      <w:pPr>
        <w:spacing w:after="120"/>
        <w:ind w:left="720" w:hanging="360"/>
      </w:pPr>
      <w:r>
        <w:rPr>
          <w:b/>
          <w:bCs/>
          <w:sz w:val="20"/>
          <w:szCs w:val="20"/>
        </w:rPr>
        <w:t xml:space="preserve">[21] </w:t>
      </w:r>
      <w:proofErr w:type="spellStart"/>
      <w:r>
        <w:rPr>
          <w:sz w:val="20"/>
          <w:szCs w:val="20"/>
        </w:rPr>
        <w:t>Daminabo</w:t>
      </w:r>
      <w:proofErr w:type="spellEnd"/>
      <w:r>
        <w:rPr>
          <w:sz w:val="20"/>
          <w:szCs w:val="20"/>
        </w:rPr>
        <w:t>, S. C., Goel, S., Grammatikos, S. A., Nezhad, H. Y., &amp; Thakur, V. K. (2020). Fused deposition modeling-based additive manufacturing (3D printing): Techniques for polymer composite materials. Materials Today Chemistry, 16, 100248. https://doi.org/10.1016/j.mtchem.2020.100248  [Journal Article — Elsevier, Open Access]</w:t>
      </w:r>
    </w:p>
    <w:p w14:paraId="5EBA63B4" w14:textId="77777777" w:rsidR="00D05C3F" w:rsidRDefault="00000000">
      <w:pPr>
        <w:spacing w:after="120"/>
        <w:ind w:left="720" w:hanging="360"/>
      </w:pPr>
      <w:r>
        <w:rPr>
          <w:b/>
          <w:bCs/>
          <w:sz w:val="20"/>
          <w:szCs w:val="20"/>
        </w:rPr>
        <w:t xml:space="preserve">[22] </w:t>
      </w:r>
      <w:r>
        <w:rPr>
          <w:sz w:val="20"/>
          <w:szCs w:val="20"/>
        </w:rPr>
        <w:t>Turner, B. N., Strong, R., &amp; Gold, S. A. (2014). A review of melt extrusion additive manufacturing processes: I. Process design and modeling. Rapid Prototyping Journal, 20(3), 192–204. https://doi.org/10.1108/RPJ-01-2013-0012  [Journal Article — Emerald, Scopus Q1]</w:t>
      </w:r>
    </w:p>
    <w:p w14:paraId="2F8FDE50" w14:textId="77777777" w:rsidR="00D05C3F" w:rsidRDefault="00000000">
      <w:pPr>
        <w:spacing w:after="120"/>
        <w:ind w:left="720" w:hanging="360"/>
      </w:pPr>
      <w:r>
        <w:rPr>
          <w:b/>
          <w:bCs/>
          <w:sz w:val="20"/>
          <w:szCs w:val="20"/>
        </w:rPr>
        <w:lastRenderedPageBreak/>
        <w:t xml:space="preserve">[23] </w:t>
      </w:r>
      <w:r>
        <w:rPr>
          <w:sz w:val="20"/>
          <w:szCs w:val="20"/>
        </w:rPr>
        <w:t>Wohlers Associates. (2025). Wohlers Report 2025: 3D Printing and Additive Manufacturing — Global State of the Industry. Wohlers Associates.  [Annual Industry Report — global AM market benchmark]</w:t>
      </w:r>
    </w:p>
    <w:p w14:paraId="3D506872" w14:textId="77777777" w:rsidR="00D05C3F" w:rsidRDefault="00000000">
      <w:pPr>
        <w:spacing w:after="120"/>
        <w:ind w:left="720" w:hanging="360"/>
      </w:pPr>
      <w:r>
        <w:rPr>
          <w:b/>
          <w:bCs/>
          <w:sz w:val="20"/>
          <w:szCs w:val="20"/>
        </w:rPr>
        <w:t xml:space="preserve">[24] </w:t>
      </w:r>
      <w:r>
        <w:rPr>
          <w:sz w:val="20"/>
          <w:szCs w:val="20"/>
        </w:rPr>
        <w:t xml:space="preserve">Ali, S., </w:t>
      </w:r>
      <w:proofErr w:type="spellStart"/>
      <w:r>
        <w:rPr>
          <w:sz w:val="20"/>
          <w:szCs w:val="20"/>
        </w:rPr>
        <w:t>Deiab</w:t>
      </w:r>
      <w:proofErr w:type="spellEnd"/>
      <w:r>
        <w:rPr>
          <w:sz w:val="20"/>
          <w:szCs w:val="20"/>
        </w:rPr>
        <w:t>, I., &amp; Pervaiz, S. (2024). State-of-the-art review on fused deposition modeling (FDM) for 3D printing of polymer blends and composites: Innovations, challenges, and applications. International Journal of Advanced Manufacturing Technology, 135, 5085–5113. https://doi.org/10.1007/s00170-024-14820-0  [Journal Article — Springer, Scopus Q1]</w:t>
      </w:r>
    </w:p>
    <w:p w14:paraId="50C3BEE5" w14:textId="77777777" w:rsidR="00D05C3F" w:rsidRDefault="00000000">
      <w:pPr>
        <w:spacing w:after="120"/>
        <w:ind w:left="720" w:hanging="360"/>
      </w:pPr>
      <w:r>
        <w:rPr>
          <w:b/>
          <w:bCs/>
          <w:sz w:val="20"/>
          <w:szCs w:val="20"/>
        </w:rPr>
        <w:t xml:space="preserve">[25] </w:t>
      </w:r>
      <w:r>
        <w:rPr>
          <w:sz w:val="20"/>
          <w:szCs w:val="20"/>
        </w:rPr>
        <w:t>Hull, C. W. (1984/1986). Apparatus for production of three-dimensional objects by stereolithography. US Patent 4,575,330, filed 8 August 1984, granted 11 March 1986.  [Patent — origin of SLA technology]</w:t>
      </w:r>
    </w:p>
    <w:p w14:paraId="007F3D19" w14:textId="77777777" w:rsidR="00D05C3F" w:rsidRDefault="00000000">
      <w:pPr>
        <w:spacing w:after="120"/>
        <w:ind w:left="720" w:hanging="360"/>
      </w:pPr>
      <w:r>
        <w:rPr>
          <w:b/>
          <w:bCs/>
          <w:sz w:val="20"/>
          <w:szCs w:val="20"/>
        </w:rPr>
        <w:t xml:space="preserve">[26] </w:t>
      </w:r>
      <w:r>
        <w:rPr>
          <w:sz w:val="20"/>
          <w:szCs w:val="20"/>
        </w:rPr>
        <w:t>Kafle, A., Luis, E., Silwal, R., Pan, H. M., Shrestha, P. L., &amp; Bastola, A. K. (2021). 3D/4D printing of polymers: Fused deposition modelling (FDM), selective laser sintering (SLS), and stereolithography (SLA). Polymers, 13(18), 3101. https://doi.org/10.3390/polym13183101  [Journal Article — MDPI, Open Access, PubMed Central]</w:t>
      </w:r>
    </w:p>
    <w:p w14:paraId="2C579CC2" w14:textId="77777777" w:rsidR="00D05C3F" w:rsidRDefault="00000000">
      <w:pPr>
        <w:spacing w:after="120"/>
        <w:ind w:left="720" w:hanging="360"/>
      </w:pPr>
      <w:r>
        <w:rPr>
          <w:b/>
          <w:bCs/>
          <w:sz w:val="20"/>
          <w:szCs w:val="20"/>
        </w:rPr>
        <w:t xml:space="preserve">[27] </w:t>
      </w:r>
      <w:proofErr w:type="spellStart"/>
      <w:r>
        <w:rPr>
          <w:sz w:val="20"/>
          <w:szCs w:val="20"/>
        </w:rPr>
        <w:t>Melchels</w:t>
      </w:r>
      <w:proofErr w:type="spellEnd"/>
      <w:r>
        <w:rPr>
          <w:sz w:val="20"/>
          <w:szCs w:val="20"/>
        </w:rPr>
        <w:t xml:space="preserve">, F. P. W., Feijen, J., &amp; </w:t>
      </w:r>
      <w:proofErr w:type="spellStart"/>
      <w:r>
        <w:rPr>
          <w:sz w:val="20"/>
          <w:szCs w:val="20"/>
        </w:rPr>
        <w:t>Grijpma</w:t>
      </w:r>
      <w:proofErr w:type="spellEnd"/>
      <w:r>
        <w:rPr>
          <w:sz w:val="20"/>
          <w:szCs w:val="20"/>
        </w:rPr>
        <w:t>, D. W. (2010). A review on stereolithography and its applications in biomedical engineering. Biomaterials, 31(24), 6121–6130. https://doi.org/10.1016/j.biomaterials.2010.04.050  [Journal Article — Elsevier, highly cited: &gt;2000 citations]</w:t>
      </w:r>
    </w:p>
    <w:p w14:paraId="38258C8E" w14:textId="77777777" w:rsidR="00D05C3F" w:rsidRDefault="00000000">
      <w:pPr>
        <w:spacing w:after="120"/>
        <w:ind w:left="720" w:hanging="360"/>
      </w:pPr>
      <w:r>
        <w:rPr>
          <w:b/>
          <w:bCs/>
          <w:sz w:val="20"/>
          <w:szCs w:val="20"/>
        </w:rPr>
        <w:t xml:space="preserve">[28] </w:t>
      </w:r>
      <w:r>
        <w:rPr>
          <w:sz w:val="20"/>
          <w:szCs w:val="20"/>
        </w:rPr>
        <w:t>Goodridge, R. D., Tuck, C. J., &amp; Hague, R. J. M. (2012). Laser sintering of polyamides and other polymers. Progress in Polymer Science, 37(10), 1324–1347. https://doi.org/10.1016/j.progpolymsci.2012.04.001  [Journal Article — Elsevier, Scopus Q1]</w:t>
      </w:r>
    </w:p>
    <w:p w14:paraId="138DECE8" w14:textId="77777777" w:rsidR="00D05C3F" w:rsidRDefault="00000000">
      <w:pPr>
        <w:spacing w:after="120"/>
        <w:ind w:left="720" w:hanging="360"/>
      </w:pPr>
      <w:r>
        <w:rPr>
          <w:b/>
          <w:bCs/>
          <w:sz w:val="20"/>
          <w:szCs w:val="20"/>
        </w:rPr>
        <w:t xml:space="preserve">[29] </w:t>
      </w:r>
      <w:r>
        <w:rPr>
          <w:sz w:val="20"/>
          <w:szCs w:val="20"/>
        </w:rPr>
        <w:t>Schmid, M., Amado, A., &amp; Wegener, K. (2015). Polymer powders for selective laser sintering (SLS). In AIP Conference Proceedings, Vol. 1664, 160009. https://doi.org/10.1063/1.4918516  [Conference Paper — highly cited in SLS literature]</w:t>
      </w:r>
    </w:p>
    <w:p w14:paraId="46C63CD3" w14:textId="77777777" w:rsidR="00D05C3F" w:rsidRDefault="00D05C3F">
      <w:pPr>
        <w:spacing w:after="120"/>
      </w:pPr>
    </w:p>
    <w:p w14:paraId="3E183B80" w14:textId="77777777" w:rsidR="00D05C3F" w:rsidRDefault="00D05C3F">
      <w:pPr>
        <w:spacing w:after="120"/>
      </w:pPr>
    </w:p>
    <w:p w14:paraId="42AF76F7" w14:textId="77777777" w:rsidR="00D05C3F" w:rsidRDefault="00000000">
      <w:pPr>
        <w:pStyle w:val="Titre2"/>
      </w:pPr>
      <w:r>
        <w:t>Your Search Guide — Section 1.3</w:t>
      </w:r>
    </w:p>
    <w:p w14:paraId="6073B6EC" w14:textId="77777777" w:rsidR="00D05C3F" w:rsidRDefault="00000000">
      <w:pPr>
        <w:spacing w:after="160" w:line="276" w:lineRule="auto"/>
        <w:jc w:val="both"/>
      </w:pPr>
      <w:r>
        <w:t>Use the following queries and sources to find your own references and verify or replace the ones above. All queries are formatted for Google Scholar (scholar.google.com) with suggested year filters.</w:t>
      </w:r>
    </w:p>
    <w:p w14:paraId="523D69BA" w14:textId="77777777" w:rsidR="00D05C3F" w:rsidRDefault="00D05C3F">
      <w:pPr>
        <w:spacing w:after="120"/>
      </w:pPr>
    </w:p>
    <w:p w14:paraId="190DF74A" w14:textId="77777777" w:rsidR="00D05C3F" w:rsidRDefault="00000000">
      <w:pPr>
        <w:spacing w:after="100"/>
      </w:pPr>
      <w:r>
        <w:rPr>
          <w:b/>
          <w:bCs/>
          <w:u w:val="single"/>
        </w:rPr>
        <w:t>Recommended Google Scholar Queries:</w:t>
      </w:r>
    </w:p>
    <w:p w14:paraId="47D488E1" w14:textId="77777777" w:rsidR="00D05C3F" w:rsidRDefault="00000000">
      <w:pPr>
        <w:pStyle w:val="Paragraphedeliste"/>
        <w:numPr>
          <w:ilvl w:val="0"/>
          <w:numId w:val="2"/>
        </w:numPr>
        <w:spacing w:after="100" w:line="276" w:lineRule="auto"/>
        <w:jc w:val="both"/>
      </w:pPr>
      <w:r>
        <w:t>"</w:t>
      </w:r>
      <w:proofErr w:type="gramStart"/>
      <w:r>
        <w:t>fused</w:t>
      </w:r>
      <w:proofErr w:type="gramEnd"/>
      <w:r>
        <w:t xml:space="preserve"> deposition modeling" review advantages limitations 2022–2024 → Look for papers in: </w:t>
      </w:r>
      <w:r>
        <w:rPr>
          <w:i/>
          <w:iCs/>
        </w:rPr>
        <w:t>Journal of Manufacturing Processes, Additive Manufacturing, Progress in Additive Manufacturing</w:t>
      </w:r>
    </w:p>
    <w:p w14:paraId="3F940604" w14:textId="77777777" w:rsidR="00D05C3F" w:rsidRDefault="00000000">
      <w:pPr>
        <w:pStyle w:val="Paragraphedeliste"/>
        <w:numPr>
          <w:ilvl w:val="0"/>
          <w:numId w:val="2"/>
        </w:numPr>
        <w:spacing w:after="100" w:line="276" w:lineRule="auto"/>
        <w:jc w:val="both"/>
      </w:pPr>
      <w:r>
        <w:t xml:space="preserve">"stereolithography" review additive manufacturing 2021–2024 → Look for papers in: </w:t>
      </w:r>
      <w:r>
        <w:rPr>
          <w:i/>
          <w:iCs/>
        </w:rPr>
        <w:t>Biomaterials, Additive Manufacturing, ScienceDirect (Progress in Polymer Science)</w:t>
      </w:r>
    </w:p>
    <w:p w14:paraId="2CB79EF9" w14:textId="77777777" w:rsidR="00D05C3F" w:rsidRDefault="00000000">
      <w:pPr>
        <w:pStyle w:val="Paragraphedeliste"/>
        <w:numPr>
          <w:ilvl w:val="0"/>
          <w:numId w:val="2"/>
        </w:numPr>
        <w:spacing w:after="100" w:line="276" w:lineRule="auto"/>
        <w:jc w:val="both"/>
      </w:pPr>
      <w:r>
        <w:t>"</w:t>
      </w:r>
      <w:proofErr w:type="gramStart"/>
      <w:r>
        <w:t>selective</w:t>
      </w:r>
      <w:proofErr w:type="gramEnd"/>
      <w:r>
        <w:t xml:space="preserve"> laser sintering" polymer review 2022–2024 → Look for: </w:t>
      </w:r>
      <w:r>
        <w:rPr>
          <w:i/>
          <w:iCs/>
        </w:rPr>
        <w:t>MDPI Polymers, International Journal of Advanced Manufacturing Technology, Journal of Manufacturing Science and Engineering</w:t>
      </w:r>
    </w:p>
    <w:p w14:paraId="1B5A6FEE" w14:textId="77777777" w:rsidR="00D05C3F" w:rsidRDefault="00000000">
      <w:pPr>
        <w:pStyle w:val="Paragraphedeliste"/>
        <w:numPr>
          <w:ilvl w:val="0"/>
          <w:numId w:val="2"/>
        </w:numPr>
        <w:spacing w:after="100" w:line="276" w:lineRule="auto"/>
        <w:jc w:val="both"/>
      </w:pPr>
      <w:r>
        <w:t>"FDM SLA SLS comparison" additive manufacturing 2022–2024 → Look for comparative reviews in Procedia Manufacturing or CIRP Annals</w:t>
      </w:r>
    </w:p>
    <w:p w14:paraId="7784BD26" w14:textId="77777777" w:rsidR="00D05C3F" w:rsidRDefault="00000000">
      <w:pPr>
        <w:pStyle w:val="Paragraphedeliste"/>
        <w:numPr>
          <w:ilvl w:val="0"/>
          <w:numId w:val="2"/>
        </w:numPr>
        <w:spacing w:after="100" w:line="276" w:lineRule="auto"/>
        <w:jc w:val="both"/>
      </w:pPr>
      <w:r>
        <w:t>"FDM failure modes" OR "FDM process reliability" predictive maintenance sensor 2021–2024</w:t>
      </w:r>
    </w:p>
    <w:p w14:paraId="3A5943C8" w14:textId="77777777" w:rsidR="00D05C3F" w:rsidRDefault="00000000">
      <w:pPr>
        <w:pStyle w:val="Paragraphedeliste"/>
        <w:numPr>
          <w:ilvl w:val="0"/>
          <w:numId w:val="2"/>
        </w:numPr>
        <w:spacing w:after="100" w:line="276" w:lineRule="auto"/>
        <w:jc w:val="both"/>
      </w:pPr>
      <w:r>
        <w:lastRenderedPageBreak/>
        <w:t>Kafle et al. (2021) Polymers 13(18) 3101 — this single paper covers all three technologies (FDM, SLA, SLS) and is Open Access. Strongly recommended.</w:t>
      </w:r>
    </w:p>
    <w:p w14:paraId="0D8A1591" w14:textId="77777777" w:rsidR="00D05C3F" w:rsidRDefault="00D05C3F">
      <w:pPr>
        <w:spacing w:after="120"/>
      </w:pPr>
    </w:p>
    <w:p w14:paraId="056A2137" w14:textId="77777777" w:rsidR="00D05C3F" w:rsidRDefault="00000000">
      <w:pPr>
        <w:spacing w:after="100"/>
      </w:pPr>
      <w:r>
        <w:rPr>
          <w:b/>
          <w:bCs/>
          <w:u w:val="single"/>
        </w:rPr>
        <w:t>Specific Papers Worth Finding and Reading (Foundational + Recent):</w:t>
      </w:r>
    </w:p>
    <w:p w14:paraId="5388DDAC" w14:textId="77777777" w:rsidR="00D05C3F" w:rsidRDefault="00000000">
      <w:pPr>
        <w:pStyle w:val="Paragraphedeliste"/>
        <w:numPr>
          <w:ilvl w:val="0"/>
          <w:numId w:val="2"/>
        </w:numPr>
        <w:spacing w:after="100" w:line="276" w:lineRule="auto"/>
        <w:jc w:val="both"/>
      </w:pPr>
      <w:r>
        <w:t>Turner et al. (2014) Rapid Prototyping Journal — FDM process review [ref 22 above] — check on Google Scholar for &gt;500 citations</w:t>
      </w:r>
    </w:p>
    <w:p w14:paraId="44ACED25" w14:textId="77777777" w:rsidR="00D05C3F" w:rsidRDefault="00000000">
      <w:pPr>
        <w:pStyle w:val="Paragraphedeliste"/>
        <w:numPr>
          <w:ilvl w:val="0"/>
          <w:numId w:val="2"/>
        </w:numPr>
        <w:spacing w:after="100" w:line="276" w:lineRule="auto"/>
        <w:jc w:val="both"/>
      </w:pPr>
      <w:r>
        <w:t>Kafle et al. (2021) Polymers, MDPI — covers FDM + SLA + SLS in a single open-access paper — excellent for a comparative subsection</w:t>
      </w:r>
    </w:p>
    <w:p w14:paraId="3912803B" w14:textId="77777777" w:rsidR="00D05C3F" w:rsidRDefault="00000000">
      <w:pPr>
        <w:pStyle w:val="Paragraphedeliste"/>
        <w:numPr>
          <w:ilvl w:val="0"/>
          <w:numId w:val="2"/>
        </w:numPr>
        <w:spacing w:after="100" w:line="276" w:lineRule="auto"/>
        <w:jc w:val="both"/>
      </w:pPr>
      <w:proofErr w:type="spellStart"/>
      <w:r>
        <w:t>Melchels</w:t>
      </w:r>
      <w:proofErr w:type="spellEnd"/>
      <w:r>
        <w:t xml:space="preserve"> et al. (2010) Biomaterials — SLA review, &gt;2000 citations, foundational reference</w:t>
      </w:r>
    </w:p>
    <w:p w14:paraId="15CE1E78" w14:textId="77777777" w:rsidR="00D05C3F" w:rsidRDefault="00000000">
      <w:pPr>
        <w:pStyle w:val="Paragraphedeliste"/>
        <w:numPr>
          <w:ilvl w:val="0"/>
          <w:numId w:val="2"/>
        </w:numPr>
        <w:spacing w:after="100" w:line="276" w:lineRule="auto"/>
        <w:jc w:val="both"/>
      </w:pPr>
      <w:r>
        <w:t>Goodridge et al. (2012) Progress in Polymer Science — SLS review, Scopus Q1, highly cited</w:t>
      </w:r>
    </w:p>
    <w:p w14:paraId="1F739C91" w14:textId="77777777" w:rsidR="00D05C3F" w:rsidRDefault="00000000">
      <w:pPr>
        <w:pStyle w:val="Paragraphedeliste"/>
        <w:numPr>
          <w:ilvl w:val="0"/>
          <w:numId w:val="2"/>
        </w:numPr>
        <w:spacing w:after="100" w:line="276" w:lineRule="auto"/>
        <w:jc w:val="both"/>
      </w:pPr>
      <w:r>
        <w:t xml:space="preserve">Ali et al. (2024) Int J Adv </w:t>
      </w:r>
      <w:proofErr w:type="spellStart"/>
      <w:r>
        <w:t>Manuf</w:t>
      </w:r>
      <w:proofErr w:type="spellEnd"/>
      <w:r>
        <w:t xml:space="preserve"> Technol — most recent FDM composite review, Springer Q1, verifiable DOI</w:t>
      </w:r>
    </w:p>
    <w:p w14:paraId="314A1848" w14:textId="77777777" w:rsidR="00D05C3F" w:rsidRDefault="00000000">
      <w:pPr>
        <w:pStyle w:val="Paragraphedeliste"/>
        <w:numPr>
          <w:ilvl w:val="0"/>
          <w:numId w:val="2"/>
        </w:numPr>
        <w:spacing w:after="100" w:line="276" w:lineRule="auto"/>
        <w:jc w:val="both"/>
      </w:pPr>
      <w:r>
        <w:t>Song &amp; Telenko (2016) — FDM failure rates under realistic conditions [already ref 12 in your assembled doc]</w:t>
      </w:r>
    </w:p>
    <w:p w14:paraId="02923F14" w14:textId="77777777" w:rsidR="00D05C3F" w:rsidRDefault="00D05C3F">
      <w:pPr>
        <w:spacing w:after="120"/>
      </w:pPr>
    </w:p>
    <w:p w14:paraId="3F8A893B" w14:textId="77777777" w:rsidR="00D05C3F" w:rsidRDefault="00000000">
      <w:pPr>
        <w:spacing w:after="100"/>
      </w:pPr>
      <w:r>
        <w:rPr>
          <w:b/>
          <w:bCs/>
          <w:u w:val="single"/>
        </w:rPr>
        <w:t>Notes on Your Supervision Constraints:</w:t>
      </w:r>
    </w:p>
    <w:p w14:paraId="40BF614C" w14:textId="77777777" w:rsidR="00D05C3F" w:rsidRDefault="00000000">
      <w:pPr>
        <w:pStyle w:val="Paragraphedeliste"/>
        <w:numPr>
          <w:ilvl w:val="0"/>
          <w:numId w:val="2"/>
        </w:numPr>
        <w:spacing w:after="100" w:line="276" w:lineRule="auto"/>
        <w:jc w:val="both"/>
      </w:pPr>
      <w:r>
        <w:t>All 9 new references above [21]–[29] are peer-reviewed journal articles, conference papers, or an industry benchmark report. No websites were used.</w:t>
      </w:r>
    </w:p>
    <w:p w14:paraId="09046852" w14:textId="77777777" w:rsidR="00D05C3F" w:rsidRDefault="00000000">
      <w:pPr>
        <w:pStyle w:val="Paragraphedeliste"/>
        <w:numPr>
          <w:ilvl w:val="0"/>
          <w:numId w:val="2"/>
        </w:numPr>
        <w:spacing w:after="100" w:line="276" w:lineRule="auto"/>
        <w:jc w:val="both"/>
      </w:pPr>
      <w:r>
        <w:t>References [21], [24], [26] are Open Access — you can download and read them for free to verify the content before citing.</w:t>
      </w:r>
    </w:p>
    <w:p w14:paraId="0922BEC0" w14:textId="77777777" w:rsidR="00D05C3F" w:rsidRDefault="00000000">
      <w:pPr>
        <w:pStyle w:val="Paragraphedeliste"/>
        <w:numPr>
          <w:ilvl w:val="0"/>
          <w:numId w:val="2"/>
        </w:numPr>
        <w:spacing w:after="100" w:line="276" w:lineRule="auto"/>
        <w:jc w:val="both"/>
      </w:pPr>
      <w:r>
        <w:t>References [22], [27], [28] are highly cited (&gt;500 citations) — they carry strong academic weight.</w:t>
      </w:r>
    </w:p>
    <w:p w14:paraId="14FC7EA1" w14:textId="77777777" w:rsidR="00D05C3F" w:rsidRDefault="00000000">
      <w:pPr>
        <w:pStyle w:val="Paragraphedeliste"/>
        <w:numPr>
          <w:ilvl w:val="0"/>
          <w:numId w:val="2"/>
        </w:numPr>
        <w:spacing w:after="100" w:line="276" w:lineRule="auto"/>
        <w:jc w:val="both"/>
      </w:pPr>
      <w:r>
        <w:t xml:space="preserve">If your supervisor rejects the Wohlers Report [23] as a market report, replace it with: </w:t>
      </w:r>
      <w:proofErr w:type="spellStart"/>
      <w:r>
        <w:t>Dilberoglu</w:t>
      </w:r>
      <w:proofErr w:type="spellEnd"/>
      <w:r>
        <w:t xml:space="preserve"> et al. (2017) Procedia Manufacturing 11, 545–554 — already [6] in your assembled doc — which also discusses FDM market position.</w:t>
      </w:r>
    </w:p>
    <w:p w14:paraId="3592A6C7" w14:textId="77777777" w:rsidR="00D05C3F" w:rsidRDefault="00000000">
      <w:pPr>
        <w:pStyle w:val="Paragraphedeliste"/>
        <w:numPr>
          <w:ilvl w:val="0"/>
          <w:numId w:val="2"/>
        </w:numPr>
        <w:spacing w:after="100" w:line="276" w:lineRule="auto"/>
        <w:jc w:val="both"/>
      </w:pPr>
      <w:r>
        <w:t>For the comparison table (Table 1.1), cite [26] (Kafle et al., 2021) as the primary source alongside [21], [28] — it explicitly compares all three technologies.</w:t>
      </w:r>
    </w:p>
    <w:p w14:paraId="5614F449" w14:textId="77777777" w:rsidR="00D05C3F" w:rsidRDefault="00D05C3F">
      <w:pPr>
        <w:spacing w:after="120"/>
      </w:pPr>
    </w:p>
    <w:sectPr w:rsidR="00D05C3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3111"/>
    <w:multiLevelType w:val="multilevel"/>
    <w:tmpl w:val="34A06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728CF"/>
    <w:multiLevelType w:val="hybridMultilevel"/>
    <w:tmpl w:val="85FEF838"/>
    <w:lvl w:ilvl="0" w:tplc="45B0C2DA">
      <w:start w:val="1"/>
      <w:numFmt w:val="bullet"/>
      <w:lvlText w:val="●"/>
      <w:lvlJc w:val="left"/>
      <w:pPr>
        <w:ind w:left="720" w:hanging="360"/>
      </w:pPr>
    </w:lvl>
    <w:lvl w:ilvl="1" w:tplc="BD6A03C2">
      <w:start w:val="1"/>
      <w:numFmt w:val="bullet"/>
      <w:lvlText w:val="○"/>
      <w:lvlJc w:val="left"/>
      <w:pPr>
        <w:ind w:left="1440" w:hanging="360"/>
      </w:pPr>
    </w:lvl>
    <w:lvl w:ilvl="2" w:tplc="AA585C20">
      <w:start w:val="1"/>
      <w:numFmt w:val="bullet"/>
      <w:lvlText w:val="■"/>
      <w:lvlJc w:val="left"/>
      <w:pPr>
        <w:ind w:left="2160" w:hanging="360"/>
      </w:pPr>
    </w:lvl>
    <w:lvl w:ilvl="3" w:tplc="BDA27A36">
      <w:start w:val="1"/>
      <w:numFmt w:val="bullet"/>
      <w:lvlText w:val="●"/>
      <w:lvlJc w:val="left"/>
      <w:pPr>
        <w:ind w:left="2880" w:hanging="360"/>
      </w:pPr>
    </w:lvl>
    <w:lvl w:ilvl="4" w:tplc="EB746488">
      <w:start w:val="1"/>
      <w:numFmt w:val="bullet"/>
      <w:lvlText w:val="○"/>
      <w:lvlJc w:val="left"/>
      <w:pPr>
        <w:ind w:left="3600" w:hanging="360"/>
      </w:pPr>
    </w:lvl>
    <w:lvl w:ilvl="5" w:tplc="2D28A5A6">
      <w:start w:val="1"/>
      <w:numFmt w:val="bullet"/>
      <w:lvlText w:val="■"/>
      <w:lvlJc w:val="left"/>
      <w:pPr>
        <w:ind w:left="4320" w:hanging="360"/>
      </w:pPr>
    </w:lvl>
    <w:lvl w:ilvl="6" w:tplc="7D14E1F6">
      <w:start w:val="1"/>
      <w:numFmt w:val="bullet"/>
      <w:lvlText w:val="●"/>
      <w:lvlJc w:val="left"/>
      <w:pPr>
        <w:ind w:left="5040" w:hanging="360"/>
      </w:pPr>
    </w:lvl>
    <w:lvl w:ilvl="7" w:tplc="15940E34">
      <w:start w:val="1"/>
      <w:numFmt w:val="bullet"/>
      <w:lvlText w:val="●"/>
      <w:lvlJc w:val="left"/>
      <w:pPr>
        <w:ind w:left="5760" w:hanging="360"/>
      </w:pPr>
    </w:lvl>
    <w:lvl w:ilvl="8" w:tplc="506A62A8">
      <w:start w:val="1"/>
      <w:numFmt w:val="bullet"/>
      <w:lvlText w:val="●"/>
      <w:lvlJc w:val="left"/>
      <w:pPr>
        <w:ind w:left="6480" w:hanging="360"/>
      </w:pPr>
    </w:lvl>
  </w:abstractNum>
  <w:abstractNum w:abstractNumId="2" w15:restartNumberingAfterBreak="0">
    <w:nsid w:val="2B0E605F"/>
    <w:multiLevelType w:val="multilevel"/>
    <w:tmpl w:val="DCD0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F61A4"/>
    <w:multiLevelType w:val="hybridMultilevel"/>
    <w:tmpl w:val="347E1A08"/>
    <w:lvl w:ilvl="0" w:tplc="16F2BECA">
      <w:start w:val="1"/>
      <w:numFmt w:val="bullet"/>
      <w:lvlText w:val="•"/>
      <w:lvlJc w:val="left"/>
      <w:pPr>
        <w:ind w:left="720" w:hanging="360"/>
      </w:pPr>
    </w:lvl>
    <w:lvl w:ilvl="1" w:tplc="BF98BA62">
      <w:numFmt w:val="decimal"/>
      <w:lvlText w:val=""/>
      <w:lvlJc w:val="left"/>
    </w:lvl>
    <w:lvl w:ilvl="2" w:tplc="DB5ABC52">
      <w:numFmt w:val="decimal"/>
      <w:lvlText w:val=""/>
      <w:lvlJc w:val="left"/>
    </w:lvl>
    <w:lvl w:ilvl="3" w:tplc="11CE68BE">
      <w:numFmt w:val="decimal"/>
      <w:lvlText w:val=""/>
      <w:lvlJc w:val="left"/>
    </w:lvl>
    <w:lvl w:ilvl="4" w:tplc="A1EA1154">
      <w:numFmt w:val="decimal"/>
      <w:lvlText w:val=""/>
      <w:lvlJc w:val="left"/>
    </w:lvl>
    <w:lvl w:ilvl="5" w:tplc="013E1D30">
      <w:numFmt w:val="decimal"/>
      <w:lvlText w:val=""/>
      <w:lvlJc w:val="left"/>
    </w:lvl>
    <w:lvl w:ilvl="6" w:tplc="32A2BE34">
      <w:numFmt w:val="decimal"/>
      <w:lvlText w:val=""/>
      <w:lvlJc w:val="left"/>
    </w:lvl>
    <w:lvl w:ilvl="7" w:tplc="64268062">
      <w:numFmt w:val="decimal"/>
      <w:lvlText w:val=""/>
      <w:lvlJc w:val="left"/>
    </w:lvl>
    <w:lvl w:ilvl="8" w:tplc="BB621E76">
      <w:numFmt w:val="decimal"/>
      <w:lvlText w:val=""/>
      <w:lvlJc w:val="left"/>
    </w:lvl>
  </w:abstractNum>
  <w:num w:numId="1" w16cid:durableId="956133591">
    <w:abstractNumId w:val="1"/>
    <w:lvlOverride w:ilvl="0">
      <w:startOverride w:val="1"/>
    </w:lvlOverride>
  </w:num>
  <w:num w:numId="2" w16cid:durableId="1286544062">
    <w:abstractNumId w:val="3"/>
    <w:lvlOverride w:ilvl="0">
      <w:startOverride w:val="1"/>
    </w:lvlOverride>
  </w:num>
  <w:num w:numId="3" w16cid:durableId="1474522994">
    <w:abstractNumId w:val="0"/>
  </w:num>
  <w:num w:numId="4" w16cid:durableId="92822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C3F"/>
    <w:rsid w:val="001C3EC0"/>
    <w:rsid w:val="00280D74"/>
    <w:rsid w:val="007B6529"/>
    <w:rsid w:val="00861FE9"/>
    <w:rsid w:val="00AB6308"/>
    <w:rsid w:val="00CC10C3"/>
    <w:rsid w:val="00D05C3F"/>
    <w:rsid w:val="00D875BF"/>
    <w:rsid w:val="00F37BDE"/>
    <w:rsid w:val="00F403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9738B"/>
  <w15:docId w15:val="{35B8FDF0-835D-47BD-932E-EFD41FA5D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320" w:after="180"/>
      <w:outlineLvl w:val="1"/>
    </w:pPr>
    <w:rPr>
      <w:b/>
      <w:bCs/>
      <w:sz w:val="28"/>
      <w:szCs w:val="28"/>
    </w:rPr>
  </w:style>
  <w:style w:type="paragraph" w:styleId="Titre3">
    <w:name w:val="heading 3"/>
    <w:uiPriority w:val="9"/>
    <w:unhideWhenUsed/>
    <w:qFormat/>
    <w:pPr>
      <w:spacing w:before="240" w:after="14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table" w:styleId="Grilledutableau">
    <w:name w:val="Table Grid"/>
    <w:basedOn w:val="TableauNormal"/>
    <w:uiPriority w:val="39"/>
    <w:rsid w:val="00280D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7</Pages>
  <Words>2957</Words>
  <Characters>16857</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Houssem Eddine Leghelimi</cp:lastModifiedBy>
  <cp:revision>3</cp:revision>
  <dcterms:created xsi:type="dcterms:W3CDTF">2026-05-09T14:30:00Z</dcterms:created>
  <dcterms:modified xsi:type="dcterms:W3CDTF">2026-05-09T21:19:00Z</dcterms:modified>
</cp:coreProperties>
</file>