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20"/>
      </w:pPr>
      <w:r>
        <w:rPr>
          <w:rFonts w:ascii="Arial" w:cs="Arial" w:eastAsia="Arial" w:hAnsi="Arial"/>
          <w:b/>
          <w:bCs/>
          <w:sz w:val="28"/>
          <w:szCs w:val="28"/>
        </w:rPr>
        <w:t xml:space="preserve">1.3  3D Printing Technologies</w:t>
      </w:r>
    </w:p>
    <w:p>
      <w:pPr>
        <w:spacing w:after="160" w:line="276"/>
        <w:jc w:val="both"/>
      </w:pPr>
      <w:r>
        <w:rPr>
          <w:rFonts w:ascii="Arial" w:cs="Arial" w:eastAsia="Arial" w:hAnsi="Arial"/>
          <w:sz w:val="22"/>
          <w:szCs w:val="22"/>
        </w:rPr>
        <w:t xml:space="preserve">Additive manufacturing encompasses a broad family of processes distinguished by the physical mechanism used to build parts layer by layer. Three technologies are most prevalent in both research and industrial adoption: Fused Deposition Modeling (FDM), Stereolithography (SLA), and Selective Laser Sintering (SLS). Each operates on a distinct physical principle, targets different material classes, and exhibits a characteristic set of strengths and limitations. Because this thesis focuses on an FDM printer as the physical asset of the digital twin, understanding the full landscape of technologies — and the specific position of FDM within it — is essential contextual knowledge.</w:t>
      </w:r>
    </w:p>
    <w:p>
      <w:pPr>
        <w:pStyle w:val="Heading3"/>
        <w:spacing w:after="140" w:before="240"/>
      </w:pPr>
      <w:r>
        <w:rPr>
          <w:rFonts w:ascii="Arial" w:cs="Arial" w:eastAsia="Arial" w:hAnsi="Arial"/>
          <w:b/>
          <w:bCs/>
          <w:sz w:val="24"/>
          <w:szCs w:val="24"/>
        </w:rPr>
        <w:t xml:space="preserve">1.3.1  FDM (Fused Deposition Modeling)</w:t>
      </w:r>
    </w:p>
    <w:p>
      <w:pPr>
        <w:spacing w:after="160" w:line="276"/>
        <w:jc w:val="both"/>
      </w:pPr>
      <w:r>
        <w:rPr>
          <w:rFonts w:ascii="Arial" w:cs="Arial" w:eastAsia="Arial" w:hAnsi="Arial"/>
          <w:sz w:val="22"/>
          <w:szCs w:val="22"/>
        </w:rPr>
        <w:t xml:space="preserve">FDM, also referred to as Fused Filament Fabrication (FFF), is classified under the Material Extrusion category of additive manufacturing. Its operating principle is straightforward: a thermoplastic filament is fed from a spool into a heated extruder nozzle, where it is melted and selectively deposited onto a build platform in a precisely controlled path. As each layer solidifies through rapid cooling, the next layer is deposited on top, gradually building the three-dimensional object </w:t>
      </w:r>
      <w:r>
        <w:rPr>
          <w:rFonts w:ascii="Arial" w:cs="Arial" w:eastAsia="Arial" w:hAnsi="Arial"/>
          <w:b/>
          <w:bCs/>
          <w:sz w:val="22"/>
          <w:szCs w:val="22"/>
        </w:rPr>
        <w:t xml:space="preserve">[21]</w:t>
      </w:r>
      <w:r>
        <w:rPr>
          <w:rFonts w:ascii="Arial" w:cs="Arial" w:eastAsia="Arial" w:hAnsi="Arial"/>
          <w:sz w:val="22"/>
          <w:szCs w:val="22"/>
        </w:rPr>
        <w:t xml:space="preserve">. The process is guided by a G-code file generated by slicing software (e.g., PrusaSlicer, Cura), which translates a CAD model into the printer's motion instructions.</w:t>
      </w:r>
    </w:p>
    <w:p>
      <w:pPr>
        <w:spacing w:after="160" w:line="276"/>
        <w:jc w:val="both"/>
      </w:pPr>
      <w:r>
        <w:rPr>
          <w:rFonts w:ascii="Arial" w:cs="Arial" w:eastAsia="Arial" w:hAnsi="Arial"/>
          <w:sz w:val="22"/>
          <w:szCs w:val="22"/>
        </w:rPr>
        <w:t xml:space="preserve">FDM was originally developed by Scott Crump and commercialised by Stratasys in the late 1980s under a patent that expired in 2009, triggering an explosion of open-source desktop systems </w:t>
      </w:r>
      <w:r>
        <w:rPr>
          <w:rFonts w:ascii="Arial" w:cs="Arial" w:eastAsia="Arial" w:hAnsi="Arial"/>
          <w:b/>
          <w:bCs/>
          <w:sz w:val="22"/>
          <w:szCs w:val="22"/>
        </w:rPr>
        <w:t xml:space="preserve">[22]</w:t>
      </w:r>
      <w:r>
        <w:rPr>
          <w:rFonts w:ascii="Arial" w:cs="Arial" w:eastAsia="Arial" w:hAnsi="Arial"/>
          <w:sz w:val="22"/>
          <w:szCs w:val="22"/>
        </w:rPr>
        <w:t xml:space="preserve">. Today, FDM is by far </w:t>
      </w:r>
      <w:r>
        <w:rPr>
          <w:rFonts w:ascii="Arial" w:cs="Arial" w:eastAsia="Arial" w:hAnsi="Arial"/>
          <w:b/>
          <w:bCs/>
          <w:sz w:val="22"/>
          <w:szCs w:val="22"/>
        </w:rPr>
        <w:t xml:space="preserve">the most widely used additive manufacturing technology</w:t>
      </w:r>
      <w:r>
        <w:rPr>
          <w:rFonts w:ascii="Arial" w:cs="Arial" w:eastAsia="Arial" w:hAnsi="Arial"/>
          <w:sz w:val="22"/>
          <w:szCs w:val="22"/>
        </w:rPr>
        <w:t xml:space="preserve"> globally, accounting for the largest share of installed machines across both industrial and consumer segments [23].</w:t>
      </w:r>
    </w:p>
    <w:p>
      <w:pPr>
        <w:spacing w:after="160" w:line="276"/>
        <w:jc w:val="both"/>
      </w:pPr>
      <w:r>
        <w:rPr>
          <w:rFonts w:ascii="Arial" w:cs="Arial" w:eastAsia="Arial" w:hAnsi="Arial"/>
          <w:sz w:val="22"/>
          <w:szCs w:val="22"/>
        </w:rPr>
        <w:t xml:space="preserve">The range of compatible thermoplastic materials is a key strength of FDM. Commonly used filaments include polylactic acid (PLA), acrylonitrile butadiene styrene (ABS), polyethylene terephthalate glycol (PETG), thermoplastic polyurethane (TPU), and nylon (PA). Engineering-grade filaments reinforced with carbon fibre, glass fibre, or metal particles extend FDM's mechanical performance toward functional end-use applications </w:t>
      </w:r>
      <w:r>
        <w:rPr>
          <w:rFonts w:ascii="Arial" w:cs="Arial" w:eastAsia="Arial" w:hAnsi="Arial"/>
          <w:b/>
          <w:bCs/>
          <w:sz w:val="22"/>
          <w:szCs w:val="22"/>
        </w:rPr>
        <w:t xml:space="preserve">[24]</w:t>
      </w:r>
      <w:r>
        <w:rPr>
          <w:rFonts w:ascii="Arial" w:cs="Arial" w:eastAsia="Arial" w:hAnsi="Arial"/>
          <w:sz w:val="22"/>
          <w:szCs w:val="22"/>
        </w:rPr>
        <w:t xml:space="preserve">. Material cost is relatively low, typically ranging from €20 to €50 per kilogram of filament.</w:t>
      </w:r>
    </w:p>
    <w:p>
      <w:pPr>
        <w:spacing w:after="160" w:line="276"/>
        <w:jc w:val="both"/>
      </w:pPr>
      <w:r>
        <w:rPr>
          <w:rFonts w:ascii="Arial" w:cs="Arial" w:eastAsia="Arial" w:hAnsi="Arial"/>
          <w:sz w:val="22"/>
          <w:szCs w:val="22"/>
        </w:rPr>
        <w:t xml:space="preserve">The principal </w:t>
      </w:r>
      <w:r>
        <w:rPr>
          <w:rFonts w:ascii="Arial" w:cs="Arial" w:eastAsia="Arial" w:hAnsi="Arial"/>
          <w:b/>
          <w:bCs/>
          <w:sz w:val="22"/>
          <w:szCs w:val="22"/>
        </w:rPr>
        <w:t xml:space="preserve">advantages</w:t>
      </w:r>
      <w:r>
        <w:rPr>
          <w:rFonts w:ascii="Arial" w:cs="Arial" w:eastAsia="Arial" w:hAnsi="Arial"/>
          <w:sz w:val="22"/>
          <w:szCs w:val="22"/>
        </w:rPr>
        <w:t xml:space="preserve"> of FDM are: (i) </w:t>
      </w:r>
      <w:r>
        <w:rPr>
          <w:rFonts w:ascii="Arial" w:cs="Arial" w:eastAsia="Arial" w:hAnsi="Arial"/>
          <w:b/>
          <w:bCs/>
          <w:sz w:val="22"/>
          <w:szCs w:val="22"/>
        </w:rPr>
        <w:t xml:space="preserve">low equipment and material cost</w:t>
      </w:r>
      <w:r>
        <w:rPr>
          <w:rFonts w:ascii="Arial" w:cs="Arial" w:eastAsia="Arial" w:hAnsi="Arial"/>
          <w:sz w:val="22"/>
          <w:szCs w:val="22"/>
        </w:rPr>
        <w:t xml:space="preserve"> — desktop systems are available from under €200, making FDM accessible for SMEs and educational institutions; (ii) </w:t>
      </w:r>
      <w:r>
        <w:rPr>
          <w:rFonts w:ascii="Arial" w:cs="Arial" w:eastAsia="Arial" w:hAnsi="Arial"/>
          <w:b/>
          <w:bCs/>
          <w:sz w:val="22"/>
          <w:szCs w:val="22"/>
        </w:rPr>
        <w:t xml:space="preserve">large build volume</w:t>
      </w:r>
      <w:r>
        <w:rPr>
          <w:rFonts w:ascii="Arial" w:cs="Arial" w:eastAsia="Arial" w:hAnsi="Arial"/>
          <w:sz w:val="22"/>
          <w:szCs w:val="22"/>
        </w:rPr>
        <w:t xml:space="preserve"> relative to cost; (iii) </w:t>
      </w:r>
      <w:r>
        <w:rPr>
          <w:rFonts w:ascii="Arial" w:cs="Arial" w:eastAsia="Arial" w:hAnsi="Arial"/>
          <w:b/>
          <w:bCs/>
          <w:sz w:val="22"/>
          <w:szCs w:val="22"/>
        </w:rPr>
        <w:t xml:space="preserve">wide material choice</w:t>
      </w:r>
      <w:r>
        <w:rPr>
          <w:rFonts w:ascii="Arial" w:cs="Arial" w:eastAsia="Arial" w:hAnsi="Arial"/>
          <w:sz w:val="22"/>
          <w:szCs w:val="22"/>
        </w:rPr>
        <w:t xml:space="preserve">, including flexible and engineering-grade polymers; (iv) simplicity of operation and maintenance; and (v) </w:t>
      </w:r>
      <w:r>
        <w:rPr>
          <w:rFonts w:ascii="Arial" w:cs="Arial" w:eastAsia="Arial" w:hAnsi="Arial"/>
          <w:b/>
          <w:bCs/>
          <w:sz w:val="22"/>
          <w:szCs w:val="22"/>
        </w:rPr>
        <w:t xml:space="preserve">compatibility with open-source ecosystems</w:t>
      </w:r>
      <w:r>
        <w:rPr>
          <w:rFonts w:ascii="Arial" w:cs="Arial" w:eastAsia="Arial" w:hAnsi="Arial"/>
          <w:sz w:val="22"/>
          <w:szCs w:val="22"/>
        </w:rPr>
        <w:t xml:space="preserve"> (RepRap, Marlin firmware, OctoPrint), which is directly exploited in this thesis </w:t>
      </w:r>
      <w:r>
        <w:rPr>
          <w:rFonts w:ascii="Arial" w:cs="Arial" w:eastAsia="Arial" w:hAnsi="Arial"/>
          <w:b/>
          <w:bCs/>
          <w:sz w:val="22"/>
          <w:szCs w:val="22"/>
        </w:rPr>
        <w:t xml:space="preserve">[21][24]</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principal </w:t>
      </w:r>
      <w:r>
        <w:rPr>
          <w:rFonts w:ascii="Arial" w:cs="Arial" w:eastAsia="Arial" w:hAnsi="Arial"/>
          <w:b/>
          <w:bCs/>
          <w:sz w:val="22"/>
          <w:szCs w:val="22"/>
        </w:rPr>
        <w:t xml:space="preserve">limitations</w:t>
      </w:r>
      <w:r>
        <w:rPr>
          <w:rFonts w:ascii="Arial" w:cs="Arial" w:eastAsia="Arial" w:hAnsi="Arial"/>
          <w:sz w:val="22"/>
          <w:szCs w:val="22"/>
        </w:rPr>
        <w:t xml:space="preserve"> are: (i) </w:t>
      </w:r>
      <w:r>
        <w:rPr>
          <w:rFonts w:ascii="Arial" w:cs="Arial" w:eastAsia="Arial" w:hAnsi="Arial"/>
          <w:b/>
          <w:bCs/>
          <w:sz w:val="22"/>
          <w:szCs w:val="22"/>
        </w:rPr>
        <w:t xml:space="preserve">visible layer lines and relatively low surface quality</w:t>
      </w:r>
      <w:r>
        <w:rPr>
          <w:rFonts w:ascii="Arial" w:cs="Arial" w:eastAsia="Arial" w:hAnsi="Arial"/>
          <w:sz w:val="22"/>
          <w:szCs w:val="22"/>
        </w:rPr>
        <w:t xml:space="preserve">, requiring post-processing for cosmetic applications; (ii) </w:t>
      </w:r>
      <w:r>
        <w:rPr>
          <w:rFonts w:ascii="Arial" w:cs="Arial" w:eastAsia="Arial" w:hAnsi="Arial"/>
          <w:b/>
          <w:bCs/>
          <w:sz w:val="22"/>
          <w:szCs w:val="22"/>
        </w:rPr>
        <w:t xml:space="preserve">anisotropic mechanical properties</w:t>
      </w:r>
      <w:r>
        <w:rPr>
          <w:rFonts w:ascii="Arial" w:cs="Arial" w:eastAsia="Arial" w:hAnsi="Arial"/>
          <w:sz w:val="22"/>
          <w:szCs w:val="22"/>
        </w:rPr>
        <w:t xml:space="preserve"> — parts are weaker along the Z-axis due to inter-layer adhesion; (iii) </w:t>
      </w:r>
      <w:r>
        <w:rPr>
          <w:rFonts w:ascii="Arial" w:cs="Arial" w:eastAsia="Arial" w:hAnsi="Arial"/>
          <w:b/>
          <w:bCs/>
          <w:sz w:val="22"/>
          <w:szCs w:val="22"/>
        </w:rPr>
        <w:t xml:space="preserve">requirement for support structures</w:t>
      </w:r>
      <w:r>
        <w:rPr>
          <w:rFonts w:ascii="Arial" w:cs="Arial" w:eastAsia="Arial" w:hAnsi="Arial"/>
          <w:sz w:val="22"/>
          <w:szCs w:val="22"/>
        </w:rPr>
        <w:t xml:space="preserve"> on overhangs, which must be manually removed; and (iv) </w:t>
      </w:r>
      <w:r>
        <w:rPr>
          <w:rFonts w:ascii="Arial" w:cs="Arial" w:eastAsia="Arial" w:hAnsi="Arial"/>
          <w:b/>
          <w:bCs/>
          <w:sz w:val="22"/>
          <w:szCs w:val="22"/>
        </w:rPr>
        <w:t xml:space="preserve">susceptibility to process failures</w:t>
      </w:r>
      <w:r>
        <w:rPr>
          <w:rFonts w:ascii="Arial" w:cs="Arial" w:eastAsia="Arial" w:hAnsi="Arial"/>
          <w:sz w:val="22"/>
          <w:szCs w:val="22"/>
        </w:rPr>
        <w:t xml:space="preserve"> such as nozzle clogging, filament grinding, layer delamination, and warping — all of which are the primary failure modes addressed in this thesis </w:t>
      </w:r>
      <w:r>
        <w:rPr>
          <w:rFonts w:ascii="Arial" w:cs="Arial" w:eastAsia="Arial" w:hAnsi="Arial"/>
          <w:b/>
          <w:bCs/>
          <w:sz w:val="22"/>
          <w:szCs w:val="22"/>
        </w:rPr>
        <w:t xml:space="preserve">[21][22]</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Research consistently documents FDM failure rates of </w:t>
      </w:r>
      <w:r>
        <w:rPr>
          <w:rFonts w:ascii="Arial" w:cs="Arial" w:eastAsia="Arial" w:hAnsi="Arial"/>
          <w:b/>
          <w:bCs/>
          <w:sz w:val="22"/>
          <w:szCs w:val="22"/>
        </w:rPr>
        <w:t xml:space="preserve">20–30% under realistic operating conditions</w:t>
      </w:r>
      <w:r>
        <w:rPr>
          <w:rFonts w:ascii="Arial" w:cs="Arial" w:eastAsia="Arial" w:hAnsi="Arial"/>
          <w:sz w:val="22"/>
          <w:szCs w:val="22"/>
        </w:rPr>
        <w:t xml:space="preserve">, with material waste from failed prints reaching up to 34% of total filament consumed in open fabrication environments </w:t>
      </w:r>
      <w:r>
        <w:rPr>
          <w:rFonts w:ascii="Arial" w:cs="Arial" w:eastAsia="Arial" w:hAnsi="Arial"/>
          <w:b/>
          <w:bCs/>
          <w:sz w:val="22"/>
          <w:szCs w:val="22"/>
        </w:rPr>
        <w:t xml:space="preserve">[12]</w:t>
      </w:r>
      <w:r>
        <w:rPr>
          <w:rFonts w:ascii="Arial" w:cs="Arial" w:eastAsia="Arial" w:hAnsi="Arial"/>
          <w:sz w:val="22"/>
          <w:szCs w:val="22"/>
        </w:rPr>
        <w:t xml:space="preserve">. This reliability gap is the central motivation for the predictive maintenance digital twin developed in this work.</w:t>
      </w:r>
    </w:p>
    <w:p>
      <w:pPr>
        <w:pStyle w:val="Heading3"/>
        <w:spacing w:after="140" w:before="240"/>
      </w:pPr>
      <w:r>
        <w:rPr>
          <w:rFonts w:ascii="Arial" w:cs="Arial" w:eastAsia="Arial" w:hAnsi="Arial"/>
          <w:b/>
          <w:bCs/>
          <w:sz w:val="24"/>
          <w:szCs w:val="24"/>
        </w:rPr>
        <w:t xml:space="preserve">1.3.2  SLA (Stereolithography)</w:t>
      </w:r>
    </w:p>
    <w:p>
      <w:pPr>
        <w:spacing w:after="160" w:line="276"/>
        <w:jc w:val="both"/>
      </w:pPr>
      <w:r>
        <w:rPr>
          <w:rFonts w:ascii="Arial" w:cs="Arial" w:eastAsia="Arial" w:hAnsi="Arial"/>
          <w:sz w:val="22"/>
          <w:szCs w:val="22"/>
        </w:rPr>
        <w:t xml:space="preserve">Stereolithography (SLA) is the oldest commercial additive manufacturing technology, first patented by Charles Hull in 1984 and commercialised by 3D Systems </w:t>
      </w:r>
      <w:r>
        <w:rPr>
          <w:rFonts w:ascii="Arial" w:cs="Arial" w:eastAsia="Arial" w:hAnsi="Arial"/>
          <w:b/>
          <w:bCs/>
          <w:sz w:val="22"/>
          <w:szCs w:val="22"/>
        </w:rPr>
        <w:t xml:space="preserve">[25]</w:t>
      </w:r>
      <w:r>
        <w:rPr>
          <w:rFonts w:ascii="Arial" w:cs="Arial" w:eastAsia="Arial" w:hAnsi="Arial"/>
          <w:sz w:val="22"/>
          <w:szCs w:val="22"/>
        </w:rPr>
        <w:t xml:space="preserve">. It belongs to the Vat Photopolymerisation family of processes and operates through a fundamentally different principle from FDM: a UV laser precisely traces each layer's cross-section across the surface of a liquid photopolymer resin bath, causing localised photopolymerisation (solidification). After each layer is cured, the build platform moves by one layer thickness, fresh resin covers the surface, and the next layer is cured on top </w:t>
      </w:r>
      <w:r>
        <w:rPr>
          <w:rFonts w:ascii="Arial" w:cs="Arial" w:eastAsia="Arial" w:hAnsi="Arial"/>
          <w:b/>
          <w:bCs/>
          <w:sz w:val="22"/>
          <w:szCs w:val="22"/>
        </w:rPr>
        <w:t xml:space="preserve">[26]</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SLA's defining characteristic is its </w:t>
      </w:r>
      <w:r>
        <w:rPr>
          <w:rFonts w:ascii="Arial" w:cs="Arial" w:eastAsia="Arial" w:hAnsi="Arial"/>
          <w:b/>
          <w:bCs/>
          <w:sz w:val="22"/>
          <w:szCs w:val="22"/>
        </w:rPr>
        <w:t xml:space="preserve">exceptional dimensional accuracy and surface quality</w:t>
      </w:r>
      <w:r>
        <w:rPr>
          <w:rFonts w:ascii="Arial" w:cs="Arial" w:eastAsia="Arial" w:hAnsi="Arial"/>
          <w:sz w:val="22"/>
          <w:szCs w:val="22"/>
        </w:rPr>
        <w:t xml:space="preserve">. Layer thickness can be as low as 25–50 µm, and the laser spot diameter limits feature resolution to approximately 20 µm — significantly finer than FDM (50–200 µm for comparable systems) </w:t>
      </w:r>
      <w:r>
        <w:rPr>
          <w:rFonts w:ascii="Arial" w:cs="Arial" w:eastAsia="Arial" w:hAnsi="Arial"/>
          <w:b/>
          <w:bCs/>
          <w:sz w:val="22"/>
          <w:szCs w:val="22"/>
        </w:rPr>
        <w:t xml:space="preserve">[27]</w:t>
      </w:r>
      <w:r>
        <w:rPr>
          <w:rFonts w:ascii="Arial" w:cs="Arial" w:eastAsia="Arial" w:hAnsi="Arial"/>
          <w:sz w:val="22"/>
          <w:szCs w:val="22"/>
        </w:rPr>
        <w:t xml:space="preserve">. This precision makes SLA the method of choice for dental prosthetics, jewellery casting patterns, micro-fluidic devices, and fine-feature functional prototypes.</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advantages</w:t>
      </w:r>
      <w:r>
        <w:rPr>
          <w:rFonts w:ascii="Arial" w:cs="Arial" w:eastAsia="Arial" w:hAnsi="Arial"/>
          <w:sz w:val="22"/>
          <w:szCs w:val="22"/>
        </w:rPr>
        <w:t xml:space="preserve"> of SLA include: (i) highest surface finish quality and geometric accuracy among the three technologies reviewed; (ii) ability to produce micro-scale features impossible with FDM; and (iii) biocompatible resin formulations suitable for medical implants and food-contact applications </w:t>
      </w:r>
      <w:r>
        <w:rPr>
          <w:rFonts w:ascii="Arial" w:cs="Arial" w:eastAsia="Arial" w:hAnsi="Arial"/>
          <w:b/>
          <w:bCs/>
          <w:sz w:val="22"/>
          <w:szCs w:val="22"/>
        </w:rPr>
        <w:t xml:space="preserve">[26]</w:t>
      </w:r>
      <w:r>
        <w:rPr>
          <w:rFonts w:ascii="Arial" w:cs="Arial" w:eastAsia="Arial" w:hAnsi="Arial"/>
          <w:sz w:val="22"/>
          <w:szCs w:val="22"/>
        </w:rPr>
        <w:t xml:space="preserve">. The </w:t>
      </w:r>
      <w:r>
        <w:rPr>
          <w:rFonts w:ascii="Arial" w:cs="Arial" w:eastAsia="Arial" w:hAnsi="Arial"/>
          <w:b/>
          <w:bCs/>
          <w:sz w:val="22"/>
          <w:szCs w:val="22"/>
        </w:rPr>
        <w:t xml:space="preserve">limitations</w:t>
      </w:r>
      <w:r>
        <w:rPr>
          <w:rFonts w:ascii="Arial" w:cs="Arial" w:eastAsia="Arial" w:hAnsi="Arial"/>
          <w:sz w:val="22"/>
          <w:szCs w:val="22"/>
        </w:rPr>
        <w:t xml:space="preserve"> are significant: (i) </w:t>
      </w:r>
      <w:r>
        <w:rPr>
          <w:rFonts w:ascii="Arial" w:cs="Arial" w:eastAsia="Arial" w:hAnsi="Arial"/>
          <w:b/>
          <w:bCs/>
          <w:sz w:val="22"/>
          <w:szCs w:val="22"/>
        </w:rPr>
        <w:t xml:space="preserve">material brittleness</w:t>
      </w:r>
      <w:r>
        <w:rPr>
          <w:rFonts w:ascii="Arial" w:cs="Arial" w:eastAsia="Arial" w:hAnsi="Arial"/>
          <w:sz w:val="22"/>
          <w:szCs w:val="22"/>
        </w:rPr>
        <w:t xml:space="preserve"> — standard photopolymer resins are thermoset materials that are inherently fragile under impact, limiting load-bearing applications; (ii) </w:t>
      </w:r>
      <w:r>
        <w:rPr>
          <w:rFonts w:ascii="Arial" w:cs="Arial" w:eastAsia="Arial" w:hAnsi="Arial"/>
          <w:b/>
          <w:bCs/>
          <w:sz w:val="22"/>
          <w:szCs w:val="22"/>
        </w:rPr>
        <w:t xml:space="preserve">narrow material range</w:t>
      </w:r>
      <w:r>
        <w:rPr>
          <w:rFonts w:ascii="Arial" w:cs="Arial" w:eastAsia="Arial" w:hAnsi="Arial"/>
          <w:sz w:val="22"/>
          <w:szCs w:val="22"/>
        </w:rPr>
        <w:t xml:space="preserve"> restricted to photocurable resins; (iii) </w:t>
      </w:r>
      <w:r>
        <w:rPr>
          <w:rFonts w:ascii="Arial" w:cs="Arial" w:eastAsia="Arial" w:hAnsi="Arial"/>
          <w:b/>
          <w:bCs/>
          <w:sz w:val="22"/>
          <w:szCs w:val="22"/>
        </w:rPr>
        <w:t xml:space="preserve">post-processing requirements</w:t>
      </w:r>
      <w:r>
        <w:rPr>
          <w:rFonts w:ascii="Arial" w:cs="Arial" w:eastAsia="Arial" w:hAnsi="Arial"/>
          <w:sz w:val="22"/>
          <w:szCs w:val="22"/>
        </w:rPr>
        <w:t xml:space="preserve"> — parts must be rinsed in isopropanol and post-cured under UV to complete polymerisation; and (iv) </w:t>
      </w:r>
      <w:r>
        <w:rPr>
          <w:rFonts w:ascii="Arial" w:cs="Arial" w:eastAsia="Arial" w:hAnsi="Arial"/>
          <w:b/>
          <w:bCs/>
          <w:sz w:val="22"/>
          <w:szCs w:val="22"/>
        </w:rPr>
        <w:t xml:space="preserve">higher material and equipment cost</w:t>
      </w:r>
      <w:r>
        <w:rPr>
          <w:rFonts w:ascii="Arial" w:cs="Arial" w:eastAsia="Arial" w:hAnsi="Arial"/>
          <w:sz w:val="22"/>
          <w:szCs w:val="22"/>
        </w:rPr>
        <w:t xml:space="preserve"> than FDM </w:t>
      </w:r>
      <w:r>
        <w:rPr>
          <w:rFonts w:ascii="Arial" w:cs="Arial" w:eastAsia="Arial" w:hAnsi="Arial"/>
          <w:b/>
          <w:bCs/>
          <w:sz w:val="22"/>
          <w:szCs w:val="22"/>
        </w:rPr>
        <w:t xml:space="preserve">[26][27]</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SLA is </w:t>
      </w:r>
      <w:r>
        <w:rPr>
          <w:rFonts w:ascii="Arial" w:cs="Arial" w:eastAsia="Arial" w:hAnsi="Arial"/>
          <w:b/>
          <w:bCs/>
          <w:sz w:val="22"/>
          <w:szCs w:val="22"/>
        </w:rPr>
        <w:t xml:space="preserve">not the focus of the present thesis</w:t>
      </w:r>
      <w:r>
        <w:rPr>
          <w:rFonts w:ascii="Arial" w:cs="Arial" w:eastAsia="Arial" w:hAnsi="Arial"/>
          <w:sz w:val="22"/>
          <w:szCs w:val="22"/>
        </w:rPr>
        <w:t xml:space="preserve">: its failure modes (resin contamination, delamination under UV exposure, support mark artefacts) differ fundamentally from those of FDM thermoplastic extrusion, and its closed-vat liquid environment presents distinct sensor placement and data acquisition challenges. Nevertheless, SLA represents an important reference point in the technology landscape, particularly for precision manufacturing applications where surface quality is paramount.</w:t>
      </w:r>
    </w:p>
    <w:p>
      <w:pPr>
        <w:pStyle w:val="Heading3"/>
        <w:spacing w:after="140" w:before="240"/>
      </w:pPr>
      <w:r>
        <w:rPr>
          <w:rFonts w:ascii="Arial" w:cs="Arial" w:eastAsia="Arial" w:hAnsi="Arial"/>
          <w:b/>
          <w:bCs/>
          <w:sz w:val="24"/>
          <w:szCs w:val="24"/>
        </w:rPr>
        <w:t xml:space="preserve">1.3.3  SLS (Selective Laser Sintering)</w:t>
      </w:r>
    </w:p>
    <w:p>
      <w:pPr>
        <w:spacing w:after="160" w:line="276"/>
        <w:jc w:val="both"/>
      </w:pPr>
      <w:r>
        <w:rPr>
          <w:rFonts w:ascii="Arial" w:cs="Arial" w:eastAsia="Arial" w:hAnsi="Arial"/>
          <w:sz w:val="22"/>
          <w:szCs w:val="22"/>
        </w:rPr>
        <w:t xml:space="preserve">Selective Laser Sintering (SLS) belongs to the Powder Bed Fusion family of additive manufacturing processes. Developed at the University of Texas at Austin in the late 1980s, SLS operates by directing a high-power CO₂ laser across a bed of fine polymer (or metal) powder, selectively fusing particles in each cross-sectional layer through localised heating </w:t>
      </w:r>
      <w:r>
        <w:rPr>
          <w:rFonts w:ascii="Arial" w:cs="Arial" w:eastAsia="Arial" w:hAnsi="Arial"/>
          <w:b/>
          <w:bCs/>
          <w:sz w:val="22"/>
          <w:szCs w:val="22"/>
        </w:rPr>
        <w:t xml:space="preserve">[28]</w:t>
      </w:r>
      <w:r>
        <w:rPr>
          <w:rFonts w:ascii="Arial" w:cs="Arial" w:eastAsia="Arial" w:hAnsi="Arial"/>
          <w:sz w:val="22"/>
          <w:szCs w:val="22"/>
        </w:rPr>
        <w:t xml:space="preserve">. After each layer is sintered, a recoating blade deposits a fresh, thin layer of powder, and the build platform lowers by one layer thickness. Upon completion, the entire build volume is a solid block of loose powder and fused parts; no separate support structures are required, as the surrounding unsintered powder provides mechanical support throughout the build </w:t>
      </w:r>
      <w:r>
        <w:rPr>
          <w:rFonts w:ascii="Arial" w:cs="Arial" w:eastAsia="Arial" w:hAnsi="Arial"/>
          <w:b/>
          <w:bCs/>
          <w:sz w:val="22"/>
          <w:szCs w:val="22"/>
        </w:rPr>
        <w:t xml:space="preserve">[29]</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elimination of support structures</w:t>
      </w:r>
      <w:r>
        <w:rPr>
          <w:rFonts w:ascii="Arial" w:cs="Arial" w:eastAsia="Arial" w:hAnsi="Arial"/>
          <w:sz w:val="22"/>
          <w:szCs w:val="22"/>
        </w:rPr>
        <w:t xml:space="preserve"> is SLS's most distinctive advantage: it enables the fabrication of highly complex geometries — internal channels, interlocking components, and lattice structures — that are impractical or impossible with FDM or SLA. Parts exhibit </w:t>
      </w:r>
      <w:r>
        <w:rPr>
          <w:rFonts w:ascii="Arial" w:cs="Arial" w:eastAsia="Arial" w:hAnsi="Arial"/>
          <w:b/>
          <w:bCs/>
          <w:sz w:val="22"/>
          <w:szCs w:val="22"/>
        </w:rPr>
        <w:t xml:space="preserve">isotropic mechanical properties</w:t>
      </w:r>
      <w:r>
        <w:rPr>
          <w:rFonts w:ascii="Arial" w:cs="Arial" w:eastAsia="Arial" w:hAnsi="Arial"/>
          <w:sz w:val="22"/>
          <w:szCs w:val="22"/>
        </w:rPr>
        <w:t xml:space="preserve">, meaning strength is uniform in all directions, unlike FDM's layer-dependent anisotropy. Commonly sintered materials include polyamide 12 (PA12/Nylon 12), PEEK, TPU, and metallic powders in SLS variants (e.g., Direct Metal Laser Sintering, DMLS) </w:t>
      </w:r>
      <w:r>
        <w:rPr>
          <w:rFonts w:ascii="Arial" w:cs="Arial" w:eastAsia="Arial" w:hAnsi="Arial"/>
          <w:b/>
          <w:bCs/>
          <w:sz w:val="22"/>
          <w:szCs w:val="22"/>
        </w:rPr>
        <w:t xml:space="preserve">[28]</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limitations</w:t>
      </w:r>
      <w:r>
        <w:rPr>
          <w:rFonts w:ascii="Arial" w:cs="Arial" w:eastAsia="Arial" w:hAnsi="Arial"/>
          <w:sz w:val="22"/>
          <w:szCs w:val="22"/>
        </w:rPr>
        <w:t xml:space="preserve"> of SLS are also significant: (i) </w:t>
      </w:r>
      <w:r>
        <w:rPr>
          <w:rFonts w:ascii="Arial" w:cs="Arial" w:eastAsia="Arial" w:hAnsi="Arial"/>
          <w:b/>
          <w:bCs/>
          <w:sz w:val="22"/>
          <w:szCs w:val="22"/>
        </w:rPr>
        <w:t xml:space="preserve">high equipment cost</w:t>
      </w:r>
      <w:r>
        <w:rPr>
          <w:rFonts w:ascii="Arial" w:cs="Arial" w:eastAsia="Arial" w:hAnsi="Arial"/>
          <w:sz w:val="22"/>
          <w:szCs w:val="22"/>
        </w:rPr>
        <w:t xml:space="preserve"> (industrial systems typically exceed €50,000); (ii) </w:t>
      </w:r>
      <w:r>
        <w:rPr>
          <w:rFonts w:ascii="Arial" w:cs="Arial" w:eastAsia="Arial" w:hAnsi="Arial"/>
          <w:b/>
          <w:bCs/>
          <w:sz w:val="22"/>
          <w:szCs w:val="22"/>
        </w:rPr>
        <w:t xml:space="preserve">powder handling complexity</w:t>
      </w:r>
      <w:r>
        <w:rPr>
          <w:rFonts w:ascii="Arial" w:cs="Arial" w:eastAsia="Arial" w:hAnsi="Arial"/>
          <w:sz w:val="22"/>
          <w:szCs w:val="22"/>
        </w:rPr>
        <w:t xml:space="preserve"> — fine powders require controlled environments and present health and fire risks; (iii) </w:t>
      </w:r>
      <w:r>
        <w:rPr>
          <w:rFonts w:ascii="Arial" w:cs="Arial" w:eastAsia="Arial" w:hAnsi="Arial"/>
          <w:b/>
          <w:bCs/>
          <w:sz w:val="22"/>
          <w:szCs w:val="22"/>
        </w:rPr>
        <w:t xml:space="preserve">rough surface finish</w:t>
      </w:r>
      <w:r>
        <w:rPr>
          <w:rFonts w:ascii="Arial" w:cs="Arial" w:eastAsia="Arial" w:hAnsi="Arial"/>
          <w:sz w:val="22"/>
          <w:szCs w:val="22"/>
        </w:rPr>
        <w:t xml:space="preserve"> requiring post-processing (vapour smoothing, dyeing) for cosmetic applications; and (iv) </w:t>
      </w:r>
      <w:r>
        <w:rPr>
          <w:rFonts w:ascii="Arial" w:cs="Arial" w:eastAsia="Arial" w:hAnsi="Arial"/>
          <w:b/>
          <w:bCs/>
          <w:sz w:val="22"/>
          <w:szCs w:val="22"/>
        </w:rPr>
        <w:t xml:space="preserve">high energy consumption</w:t>
      </w:r>
      <w:r>
        <w:rPr>
          <w:rFonts w:ascii="Arial" w:cs="Arial" w:eastAsia="Arial" w:hAnsi="Arial"/>
          <w:sz w:val="22"/>
          <w:szCs w:val="22"/>
        </w:rPr>
        <w:t xml:space="preserve"> due to the requirement to pre-heat and maintain the entire powder bed at near-sintering temperature </w:t>
      </w:r>
      <w:r>
        <w:rPr>
          <w:rFonts w:ascii="Arial" w:cs="Arial" w:eastAsia="Arial" w:hAnsi="Arial"/>
          <w:b/>
          <w:bCs/>
          <w:sz w:val="22"/>
          <w:szCs w:val="22"/>
        </w:rPr>
        <w:t xml:space="preserve">[29]</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SLS is predominantly applied in </w:t>
      </w:r>
      <w:r>
        <w:rPr>
          <w:rFonts w:ascii="Arial" w:cs="Arial" w:eastAsia="Arial" w:hAnsi="Arial"/>
          <w:b/>
          <w:bCs/>
          <w:sz w:val="22"/>
          <w:szCs w:val="22"/>
        </w:rPr>
        <w:t xml:space="preserve">aerospace, automotive, and high-value functional part production</w:t>
      </w:r>
      <w:r>
        <w:rPr>
          <w:rFonts w:ascii="Arial" w:cs="Arial" w:eastAsia="Arial" w:hAnsi="Arial"/>
          <w:sz w:val="22"/>
          <w:szCs w:val="22"/>
        </w:rPr>
        <w:t xml:space="preserve"> where geometric complexity and isotropic mechanical performance justify the cost. Like SLA, SLS is </w:t>
      </w:r>
      <w:r>
        <w:rPr>
          <w:rFonts w:ascii="Arial" w:cs="Arial" w:eastAsia="Arial" w:hAnsi="Arial"/>
          <w:b/>
          <w:bCs/>
          <w:sz w:val="22"/>
          <w:szCs w:val="22"/>
        </w:rPr>
        <w:t xml:space="preserve">not the technology addressed in this thesis</w:t>
      </w:r>
      <w:r>
        <w:rPr>
          <w:rFonts w:ascii="Arial" w:cs="Arial" w:eastAsia="Arial" w:hAnsi="Arial"/>
          <w:sz w:val="22"/>
          <w:szCs w:val="22"/>
        </w:rPr>
        <w:t xml:space="preserve">; its failure modes (powder contamination, laser drift, thermal gradient-induced warping in the powder bed) and operational environment are sufficiently distinct from FDM to constitute a separate research domain.</w:t>
      </w:r>
    </w:p>
    <w:p>
      <w:pPr>
        <w:pStyle w:val="Heading3"/>
        <w:spacing w:after="140" w:before="240"/>
      </w:pPr>
      <w:r>
        <w:rPr>
          <w:rFonts w:ascii="Arial" w:cs="Arial" w:eastAsia="Arial" w:hAnsi="Arial"/>
          <w:b/>
          <w:bCs/>
          <w:sz w:val="24"/>
          <w:szCs w:val="24"/>
        </w:rPr>
        <w:t xml:space="preserve">1.3.4  Comparison of Technologies</w:t>
      </w:r>
    </w:p>
    <w:p>
      <w:pPr>
        <w:spacing w:after="160" w:line="276"/>
        <w:jc w:val="both"/>
      </w:pPr>
      <w:r>
        <w:rPr>
          <w:rFonts w:ascii="Arial" w:cs="Arial" w:eastAsia="Arial" w:hAnsi="Arial"/>
          <w:sz w:val="22"/>
          <w:szCs w:val="22"/>
        </w:rPr>
        <w:t xml:space="preserve">Table 1.1 provides a structured comparison of FDM, SLA, and SLS across eight technical and economic dimensions, synthesised from the academic literature reviewed in Sections 1.3.1–1.3.3 </w:t>
      </w:r>
      <w:r>
        <w:rPr>
          <w:rFonts w:ascii="Arial" w:cs="Arial" w:eastAsia="Arial" w:hAnsi="Arial"/>
          <w:b/>
          <w:bCs/>
          <w:sz w:val="22"/>
          <w:szCs w:val="22"/>
        </w:rPr>
        <w:t xml:space="preserve">[21][22][25][26][28][29]</w:t>
      </w:r>
      <w:r>
        <w:rPr>
          <w:rFonts w:ascii="Arial" w:cs="Arial" w:eastAsia="Arial" w:hAnsi="Arial"/>
          <w:sz w:val="22"/>
          <w:szCs w:val="22"/>
        </w:rPr>
        <w:t xml:space="preserve">. The comparison makes explicit the specific positioning of FDM — and of this thesis — within the broader additive manufacturing technology landscape.</w:t>
      </w:r>
    </w:p>
    <w:p>
      <w:pPr>
        <w:spacing w:after="120"/>
      </w:pPr>
    </w:p>
    <w:p>
      <w:pPr>
        <w:spacing w:after="80"/>
        <w:jc w:val="center"/>
      </w:pPr>
      <w:r>
        <w:rPr>
          <w:rFonts w:ascii="Arial" w:cs="Arial" w:eastAsia="Arial" w:hAnsi="Arial"/>
          <w:i/>
          <w:iCs/>
          <w:sz w:val="20"/>
          <w:szCs w:val="20"/>
        </w:rPr>
        <w:t xml:space="preserve">Table 1.1 – Comparative overview of FDM, SLA, and SLS 3D printing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00"/>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FDM</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SLA</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SLS</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Working principle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Thermoplastic filament melted &amp; extruded layer by layer</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UV laser cures liquid photopolymer resin layer by layer</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CO₂ laser sinters powder particles layer by layer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Primary materials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PLA, ABS, PETG, Nylon, TPU</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Photopolymer resins (standard, engineering, dental)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Polyamide 12 (PA12), Nylon, PEEK, metal powders</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Layer resolution</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100–300 µm (typical)</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25–100 µm</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80–150 µm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Surface finish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Moderate (visible layer lines)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Excellent (smooth, high detail)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Moderate (grainy texture)</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Support structures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Required (removable manually)</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Required (breakaway/soluble)</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Not required (unsintered powder acts as support)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Equipment cost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Low (€200 – €10,000+)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Medium (€500 – €50,000+)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 (€5,000 – €250,000+)</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Material cost</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Low (€20–€50/kg filament)</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Medium (€50–€200/L resin)</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 (€50–€120/kg powder)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 volume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Large (up to 300×300×400 mm)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Medium (145×145×175 mm typical)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Large (up to 380×380×580 mm)</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Mechanical properties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Good (isotropic if optimised)</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Moderate (brittle under UV), good with engineering resins</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Excellent (isotropic, no warping)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Main advantages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Low cost, wide material range, scalable build volume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Highest dimensional accuracy and surface quality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No supports needed, isotropic parts, complex geometries</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Main limitations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Visible layer lines, anisotropic strength, prone to warping/clogging</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Resin brittle, post-curing required, limited material range</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 cost, rough surface, post-processing required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application domains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Prototyping, education, functional parts, IoT enclosures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Dental, jewellery, fine-detail prototypes, medical devices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Aerospace, automotive, functional end-use parts</w:t>
            </w:r>
          </w:p>
        </w:tc>
      </w:tr>
      <w:tr>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Relevance to this thesis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 Primary technology — FDM printer is the physical asset of the digital twin</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 Not studied (different failure modes)</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 Not studied (powder handling environment differs significantly)</w:t>
            </w:r>
          </w:p>
        </w:tc>
      </w:tr>
    </w:tbl>
    <w:p>
      <w:pPr>
        <w:spacing w:after="120"/>
      </w:pPr>
    </w:p>
    <w:p>
      <w:pPr>
        <w:spacing w:after="120"/>
      </w:pPr>
    </w:p>
    <w:p>
      <w:pPr>
        <w:spacing w:after="160" w:line="276"/>
        <w:jc w:val="both"/>
      </w:pPr>
      <w:r>
        <w:rPr>
          <w:rFonts w:ascii="Arial" w:cs="Arial" w:eastAsia="Arial" w:hAnsi="Arial"/>
          <w:sz w:val="22"/>
          <w:szCs w:val="22"/>
        </w:rPr>
        <w:t xml:space="preserve">From Table 1.1, several conclusions emerge that directly motivate the present work. First, </w:t>
      </w:r>
      <w:r>
        <w:rPr>
          <w:rFonts w:ascii="Arial" w:cs="Arial" w:eastAsia="Arial" w:hAnsi="Arial"/>
          <w:b/>
          <w:bCs/>
          <w:sz w:val="22"/>
          <w:szCs w:val="22"/>
        </w:rPr>
        <w:t xml:space="preserve">FDM is the only technology with a cost profile accessible to SMEs, educational institutions, and small-scale manufacturing environments</w:t>
      </w:r>
      <w:r>
        <w:rPr>
          <w:rFonts w:ascii="Arial" w:cs="Arial" w:eastAsia="Arial" w:hAnsi="Arial"/>
          <w:sz w:val="22"/>
          <w:szCs w:val="22"/>
        </w:rPr>
        <w:t xml:space="preserve"> — the primary contexts in which a low-cost digital twin provides maximum value. Second, FDM is simultaneously the technology with the highest operational failure rates and the widest range of identifiable, sensor-observable failure modes (thermal anomalies, vibration signatures of nozzle clogging, filament grinding, belt resonance), making it </w:t>
      </w:r>
      <w:r>
        <w:rPr>
          <w:rFonts w:ascii="Arial" w:cs="Arial" w:eastAsia="Arial" w:hAnsi="Arial"/>
          <w:b/>
          <w:bCs/>
          <w:sz w:val="22"/>
          <w:szCs w:val="22"/>
        </w:rPr>
        <w:t xml:space="preserve">the most tractable candidate for digital twin-based predictive maintenance</w:t>
      </w:r>
      <w:r>
        <w:rPr>
          <w:rFonts w:ascii="Arial" w:cs="Arial" w:eastAsia="Arial" w:hAnsi="Arial"/>
          <w:sz w:val="22"/>
          <w:szCs w:val="22"/>
        </w:rPr>
        <w:t xml:space="preserve"> research. Third, the open-source firmware and communication ecosystem of FDM printers (Marlin, G-code, MQTT-compatible controllers) facilitates sensor integration in ways not available for proprietary SLA or SLS systems.</w:t>
      </w:r>
    </w:p>
    <w:p>
      <w:pPr>
        <w:spacing w:after="160" w:line="276"/>
        <w:jc w:val="both"/>
      </w:pPr>
      <w:r>
        <w:rPr>
          <w:rFonts w:ascii="Arial" w:cs="Arial" w:eastAsia="Arial" w:hAnsi="Arial"/>
          <w:sz w:val="22"/>
          <w:szCs w:val="22"/>
        </w:rPr>
        <w:t xml:space="preserve">SLA and SLS are noted here for completeness and for the comparative context they provide. Future extensions of this work could, in principle, adapt the digital twin architecture to these technologies — particularly SLS, where the high cost of machine downtime and the complexity of powder-bed thermal management create strong incentives for predictive monitoring </w:t>
      </w:r>
      <w:r>
        <w:rPr>
          <w:rFonts w:ascii="Arial" w:cs="Arial" w:eastAsia="Arial" w:hAnsi="Arial"/>
          <w:b/>
          <w:bCs/>
          <w:sz w:val="22"/>
          <w:szCs w:val="22"/>
        </w:rPr>
        <w:t xml:space="preserve">[29]</w:t>
      </w:r>
      <w:r>
        <w:rPr>
          <w:rFonts w:ascii="Arial" w:cs="Arial" w:eastAsia="Arial" w:hAnsi="Arial"/>
          <w:sz w:val="22"/>
          <w:szCs w:val="22"/>
        </w:rPr>
        <w:t xml:space="preserve">. Such extensions, however, lie beyond the scope of the present thesis.</w:t>
      </w:r>
    </w:p>
    <w:p>
      <w:pPr>
        <w:pBdr>
          <w:bottom w:val="single" w:color="AAAAAA" w:sz="4" w:space="1"/>
        </w:pBdr>
        <w:spacing w:after="160" w:before="160"/>
      </w:pPr>
    </w:p>
    <w:p>
      <w:pPr>
        <w:pStyle w:val="Heading2"/>
        <w:spacing w:after="180" w:before="320"/>
      </w:pPr>
      <w:r>
        <w:rPr>
          <w:rFonts w:ascii="Arial" w:cs="Arial" w:eastAsia="Arial" w:hAnsi="Arial"/>
          <w:b/>
          <w:bCs/>
          <w:sz w:val="28"/>
          <w:szCs w:val="28"/>
        </w:rPr>
        <w:t xml:space="preserve">References for Section 1.3 (New references — continue from [20])</w:t>
      </w:r>
    </w:p>
    <w:p>
      <w:pPr>
        <w:spacing w:after="120"/>
        <w:jc w:val="both"/>
      </w:pPr>
      <w:r>
        <w:rPr>
          <w:rFonts w:ascii="Arial" w:cs="Arial" w:eastAsia="Arial" w:hAnsi="Arial"/>
          <w:i/>
          <w:iCs/>
          <w:sz w:val="22"/>
          <w:szCs w:val="22"/>
        </w:rPr>
        <w:t xml:space="preserve">References [1]–[20] are as listed in the assembled document. The following are new references introduced in Section 1.3:</w:t>
      </w:r>
    </w:p>
    <w:p>
      <w:pPr>
        <w:spacing w:after="120"/>
      </w:pPr>
    </w:p>
    <w:p>
      <w:pPr>
        <w:spacing w:after="120"/>
        <w:ind w:left="720" w:hanging="360"/>
      </w:pPr>
      <w:r>
        <w:rPr>
          <w:rFonts w:ascii="Arial" w:cs="Arial" w:eastAsia="Arial" w:hAnsi="Arial"/>
          <w:b/>
          <w:bCs/>
          <w:sz w:val="20"/>
          <w:szCs w:val="20"/>
        </w:rPr>
        <w:t xml:space="preserve">[21] </w:t>
      </w:r>
      <w:r>
        <w:rPr>
          <w:rFonts w:ascii="Arial" w:cs="Arial" w:eastAsia="Arial" w:hAnsi="Arial"/>
          <w:sz w:val="20"/>
          <w:szCs w:val="20"/>
        </w:rPr>
        <w:t xml:space="preserve">Daminabo, S. C., Goel, S., Grammatikos, S. A., Nezhad, H. Y., &amp; Thakur, V. K. (2020). Fused deposition modeling-based additive manufacturing (3D printing): Techniques for polymer composite materials. Materials Today Chemistry, 16, 100248. https://doi.org/10.1016/j.mtchem.2020.100248  [Journal Article — Elsevier, Open Access]</w:t>
      </w:r>
    </w:p>
    <w:p>
      <w:pPr>
        <w:spacing w:after="120"/>
        <w:ind w:left="720" w:hanging="360"/>
      </w:pPr>
      <w:r>
        <w:rPr>
          <w:rFonts w:ascii="Arial" w:cs="Arial" w:eastAsia="Arial" w:hAnsi="Arial"/>
          <w:b/>
          <w:bCs/>
          <w:sz w:val="20"/>
          <w:szCs w:val="20"/>
        </w:rPr>
        <w:t xml:space="preserve">[22] </w:t>
      </w:r>
      <w:r>
        <w:rPr>
          <w:rFonts w:ascii="Arial" w:cs="Arial" w:eastAsia="Arial" w:hAnsi="Arial"/>
          <w:sz w:val="20"/>
          <w:szCs w:val="20"/>
        </w:rPr>
        <w:t xml:space="preserve">Turner, B. N., Strong, R., &amp; Gold, S. A. (2014). A review of melt extrusion additive manufacturing processes: I. Process design and modeling. Rapid Prototyping Journal, 20(3), 192–204. https://doi.org/10.1108/RPJ-01-2013-0012  [Journal Article — Emerald, Scopus Q1]</w:t>
      </w:r>
    </w:p>
    <w:p>
      <w:pPr>
        <w:spacing w:after="120"/>
        <w:ind w:left="720" w:hanging="360"/>
      </w:pPr>
      <w:r>
        <w:rPr>
          <w:rFonts w:ascii="Arial" w:cs="Arial" w:eastAsia="Arial" w:hAnsi="Arial"/>
          <w:b/>
          <w:bCs/>
          <w:sz w:val="20"/>
          <w:szCs w:val="20"/>
        </w:rPr>
        <w:t xml:space="preserve">[23] </w:t>
      </w:r>
      <w:r>
        <w:rPr>
          <w:rFonts w:ascii="Arial" w:cs="Arial" w:eastAsia="Arial" w:hAnsi="Arial"/>
          <w:sz w:val="20"/>
          <w:szCs w:val="20"/>
        </w:rPr>
        <w:t xml:space="preserve">Wohlers Associates. (2025). Wohlers Report 2025: 3D Printing and Additive Manufacturing — Global State of the Industry. Wohlers Associates.  [Annual Industry Report — global AM market benchmark]</w:t>
      </w:r>
    </w:p>
    <w:p>
      <w:pPr>
        <w:spacing w:after="120"/>
        <w:ind w:left="720" w:hanging="360"/>
      </w:pPr>
      <w:r>
        <w:rPr>
          <w:rFonts w:ascii="Arial" w:cs="Arial" w:eastAsia="Arial" w:hAnsi="Arial"/>
          <w:b/>
          <w:bCs/>
          <w:sz w:val="20"/>
          <w:szCs w:val="20"/>
        </w:rPr>
        <w:t xml:space="preserve">[24] </w:t>
      </w:r>
      <w:r>
        <w:rPr>
          <w:rFonts w:ascii="Arial" w:cs="Arial" w:eastAsia="Arial" w:hAnsi="Arial"/>
          <w:sz w:val="20"/>
          <w:szCs w:val="20"/>
        </w:rPr>
        <w:t xml:space="preserve">Ali, S., Deiab, I., &amp; Pervaiz, S. (2024). State-of-the-art review on fused deposition modeling (FDM) for 3D printing of polymer blends and composites: Innovations, challenges, and applications. International Journal of Advanced Manufacturing Technology, 135, 5085–5113. https://doi.org/10.1007/s00170-024-14820-0  [Journal Article — Springer, Scopus Q1]</w:t>
      </w:r>
    </w:p>
    <w:p>
      <w:pPr>
        <w:spacing w:after="120"/>
        <w:ind w:left="720" w:hanging="360"/>
      </w:pPr>
      <w:r>
        <w:rPr>
          <w:rFonts w:ascii="Arial" w:cs="Arial" w:eastAsia="Arial" w:hAnsi="Arial"/>
          <w:b/>
          <w:bCs/>
          <w:sz w:val="20"/>
          <w:szCs w:val="20"/>
        </w:rPr>
        <w:t xml:space="preserve">[25] </w:t>
      </w:r>
      <w:r>
        <w:rPr>
          <w:rFonts w:ascii="Arial" w:cs="Arial" w:eastAsia="Arial" w:hAnsi="Arial"/>
          <w:sz w:val="20"/>
          <w:szCs w:val="20"/>
        </w:rPr>
        <w:t xml:space="preserve">Hull, C. W. (1984/1986). Apparatus for production of three-dimensional objects by stereolithography. US Patent 4,575,330, filed 8 August 1984, granted 11 March 1986.  [Patent — origin of SLA technology]</w:t>
      </w:r>
    </w:p>
    <w:p>
      <w:pPr>
        <w:spacing w:after="120"/>
        <w:ind w:left="720" w:hanging="360"/>
      </w:pPr>
      <w:r>
        <w:rPr>
          <w:rFonts w:ascii="Arial" w:cs="Arial" w:eastAsia="Arial" w:hAnsi="Arial"/>
          <w:b/>
          <w:bCs/>
          <w:sz w:val="20"/>
          <w:szCs w:val="20"/>
        </w:rPr>
        <w:t xml:space="preserve">[26] </w:t>
      </w:r>
      <w:r>
        <w:rPr>
          <w:rFonts w:ascii="Arial" w:cs="Arial" w:eastAsia="Arial" w:hAnsi="Arial"/>
          <w:sz w:val="20"/>
          <w:szCs w:val="20"/>
        </w:rPr>
        <w:t xml:space="preserve">Kafle, A., Luis, E., Silwal, R., Pan, H. M., Shrestha, P. L., &amp; Bastola, A. K. (2021). 3D/4D printing of polymers: Fused deposition modelling (FDM), selective laser sintering (SLS), and stereolithography (SLA). Polymers, 13(18), 3101. https://doi.org/10.3390/polym13183101  [Journal Article — MDPI, Open Access, PubMed Central]</w:t>
      </w:r>
    </w:p>
    <w:p>
      <w:pPr>
        <w:spacing w:after="120"/>
        <w:ind w:left="720" w:hanging="360"/>
      </w:pPr>
      <w:r>
        <w:rPr>
          <w:rFonts w:ascii="Arial" w:cs="Arial" w:eastAsia="Arial" w:hAnsi="Arial"/>
          <w:b/>
          <w:bCs/>
          <w:sz w:val="20"/>
          <w:szCs w:val="20"/>
        </w:rPr>
        <w:t xml:space="preserve">[27] </w:t>
      </w:r>
      <w:r>
        <w:rPr>
          <w:rFonts w:ascii="Arial" w:cs="Arial" w:eastAsia="Arial" w:hAnsi="Arial"/>
          <w:sz w:val="20"/>
          <w:szCs w:val="20"/>
        </w:rPr>
        <w:t xml:space="preserve">Melchels, F. P. W., Feijen, J., &amp; Grijpma, D. W. (2010). A review on stereolithography and its applications in biomedical engineering. Biomaterials, 31(24), 6121–6130. https://doi.org/10.1016/j.biomaterials.2010.04.050  [Journal Article — Elsevier, highly cited: &gt;2000 citations]</w:t>
      </w:r>
    </w:p>
    <w:p>
      <w:pPr>
        <w:spacing w:after="120"/>
        <w:ind w:left="720" w:hanging="360"/>
      </w:pPr>
      <w:r>
        <w:rPr>
          <w:rFonts w:ascii="Arial" w:cs="Arial" w:eastAsia="Arial" w:hAnsi="Arial"/>
          <w:b/>
          <w:bCs/>
          <w:sz w:val="20"/>
          <w:szCs w:val="20"/>
        </w:rPr>
        <w:t xml:space="preserve">[28] </w:t>
      </w:r>
      <w:r>
        <w:rPr>
          <w:rFonts w:ascii="Arial" w:cs="Arial" w:eastAsia="Arial" w:hAnsi="Arial"/>
          <w:sz w:val="20"/>
          <w:szCs w:val="20"/>
        </w:rPr>
        <w:t xml:space="preserve">Goodridge, R. D., Tuck, C. J., &amp; Hague, R. J. M. (2012). Laser sintering of polyamides and other polymers. Progress in Polymer Science, 37(10), 1324–1347. https://doi.org/10.1016/j.progpolymsci.2012.04.001  [Journal Article — Elsevier, Scopus Q1]</w:t>
      </w:r>
    </w:p>
    <w:p>
      <w:pPr>
        <w:spacing w:after="120"/>
        <w:ind w:left="720" w:hanging="360"/>
      </w:pPr>
      <w:r>
        <w:rPr>
          <w:rFonts w:ascii="Arial" w:cs="Arial" w:eastAsia="Arial" w:hAnsi="Arial"/>
          <w:b/>
          <w:bCs/>
          <w:sz w:val="20"/>
          <w:szCs w:val="20"/>
        </w:rPr>
        <w:t xml:space="preserve">[29] </w:t>
      </w:r>
      <w:r>
        <w:rPr>
          <w:rFonts w:ascii="Arial" w:cs="Arial" w:eastAsia="Arial" w:hAnsi="Arial"/>
          <w:sz w:val="20"/>
          <w:szCs w:val="20"/>
        </w:rPr>
        <w:t xml:space="preserve">Schmid, M., Amado, A., &amp; Wegener, K. (2015). Polymer powders for selective laser sintering (SLS). In AIP Conference Proceedings, Vol. 1664, 160009. https://doi.org/10.1063/1.4918516  [Conference Paper — highly cited in SLS literature]</w:t>
      </w:r>
    </w:p>
    <w:p>
      <w:pPr>
        <w:spacing w:after="120"/>
      </w:pPr>
    </w:p>
    <w:p>
      <w:pPr>
        <w:spacing w:after="120"/>
      </w:pPr>
    </w:p>
    <w:p>
      <w:pPr>
        <w:pStyle w:val="Heading2"/>
        <w:spacing w:after="180" w:before="320"/>
      </w:pPr>
      <w:r>
        <w:rPr>
          <w:rFonts w:ascii="Arial" w:cs="Arial" w:eastAsia="Arial" w:hAnsi="Arial"/>
          <w:b/>
          <w:bCs/>
          <w:sz w:val="28"/>
          <w:szCs w:val="28"/>
        </w:rPr>
        <w:t xml:space="preserve">Your Search Guide — Section 1.3</w:t>
      </w:r>
    </w:p>
    <w:p>
      <w:pPr>
        <w:spacing w:after="160" w:line="276"/>
        <w:jc w:val="both"/>
      </w:pPr>
      <w:r>
        <w:rPr>
          <w:rFonts w:ascii="Arial" w:cs="Arial" w:eastAsia="Arial" w:hAnsi="Arial"/>
          <w:sz w:val="22"/>
          <w:szCs w:val="22"/>
        </w:rPr>
        <w:t xml:space="preserve">Use the following queries and sources to find your own references and verify or replace the ones above. All queries are formatted for Google Scholar (scholar.google.com) with suggested year filters.</w:t>
      </w:r>
    </w:p>
    <w:p>
      <w:pPr>
        <w:spacing w:after="120"/>
      </w:pPr>
    </w:p>
    <w:p>
      <w:pPr>
        <w:spacing w:after="100"/>
      </w:pPr>
      <w:r>
        <w:rPr>
          <w:rFonts w:ascii="Arial" w:cs="Arial" w:eastAsia="Arial" w:hAnsi="Arial"/>
          <w:b/>
          <w:bCs/>
          <w:sz w:val="22"/>
          <w:szCs w:val="22"/>
          <w:u w:val="single"/>
        </w:rPr>
        <w:t xml:space="preserve">Recommended Google Scholar Queries:</w:t>
      </w:r>
    </w:p>
    <w:p>
      <w:pPr>
        <w:pStyle w:val="ListParagraph"/>
        <w:numPr>
          <w:ilvl w:val="0"/>
          <w:numId w:val="2"/>
        </w:numPr>
        <w:spacing w:after="100" w:line="276"/>
        <w:jc w:val="both"/>
      </w:pPr>
      <w:r>
        <w:rPr>
          <w:rFonts w:ascii="Arial" w:cs="Arial" w:eastAsia="Arial" w:hAnsi="Arial"/>
          <w:sz w:val="22"/>
          <w:szCs w:val="22"/>
        </w:rPr>
        <w:t xml:space="preserve">"fused deposition modeling" review advantages limitations 2022–2024 → Look for papers in: </w:t>
      </w:r>
      <w:r>
        <w:rPr>
          <w:rFonts w:ascii="Arial" w:cs="Arial" w:eastAsia="Arial" w:hAnsi="Arial"/>
          <w:i/>
          <w:iCs/>
          <w:sz w:val="22"/>
          <w:szCs w:val="22"/>
        </w:rPr>
        <w:t xml:space="preserve">Journal of Manufacturing Processes, Additive Manufacturing, Progress in Additive Manufacturing</w:t>
      </w:r>
    </w:p>
    <w:p>
      <w:pPr>
        <w:pStyle w:val="ListParagraph"/>
        <w:numPr>
          <w:ilvl w:val="0"/>
          <w:numId w:val="2"/>
        </w:numPr>
        <w:spacing w:after="100" w:line="276"/>
        <w:jc w:val="both"/>
      </w:pPr>
      <w:r>
        <w:rPr>
          <w:rFonts w:ascii="Arial" w:cs="Arial" w:eastAsia="Arial" w:hAnsi="Arial"/>
          <w:sz w:val="22"/>
          <w:szCs w:val="22"/>
        </w:rPr>
        <w:t xml:space="preserve">"stereolithography" review additive manufacturing 2021–2024 → Look for papers in: </w:t>
      </w:r>
      <w:r>
        <w:rPr>
          <w:rFonts w:ascii="Arial" w:cs="Arial" w:eastAsia="Arial" w:hAnsi="Arial"/>
          <w:i/>
          <w:iCs/>
          <w:sz w:val="22"/>
          <w:szCs w:val="22"/>
        </w:rPr>
        <w:t xml:space="preserve">Biomaterials, Additive Manufacturing, ScienceDirect (Progress in Polymer Science)</w:t>
      </w:r>
    </w:p>
    <w:p>
      <w:pPr>
        <w:pStyle w:val="ListParagraph"/>
        <w:numPr>
          <w:ilvl w:val="0"/>
          <w:numId w:val="2"/>
        </w:numPr>
        <w:spacing w:after="100" w:line="276"/>
        <w:jc w:val="both"/>
      </w:pPr>
      <w:r>
        <w:rPr>
          <w:rFonts w:ascii="Arial" w:cs="Arial" w:eastAsia="Arial" w:hAnsi="Arial"/>
          <w:sz w:val="22"/>
          <w:szCs w:val="22"/>
        </w:rPr>
        <w:t xml:space="preserve">"selective laser sintering" polymer review 2022–2024 → Look for: </w:t>
      </w:r>
      <w:r>
        <w:rPr>
          <w:rFonts w:ascii="Arial" w:cs="Arial" w:eastAsia="Arial" w:hAnsi="Arial"/>
          <w:i/>
          <w:iCs/>
          <w:sz w:val="22"/>
          <w:szCs w:val="22"/>
        </w:rPr>
        <w:t xml:space="preserve">MDPI Polymers, International Journal of Advanced Manufacturing Technology, Journal of Manufacturing Science and Engineering</w:t>
      </w:r>
    </w:p>
    <w:p>
      <w:pPr>
        <w:pStyle w:val="ListParagraph"/>
        <w:numPr>
          <w:ilvl w:val="0"/>
          <w:numId w:val="2"/>
        </w:numPr>
        <w:spacing w:after="100" w:line="276"/>
        <w:jc w:val="both"/>
      </w:pPr>
      <w:r>
        <w:rPr>
          <w:rFonts w:ascii="Arial" w:cs="Arial" w:eastAsia="Arial" w:hAnsi="Arial"/>
          <w:sz w:val="22"/>
          <w:szCs w:val="22"/>
        </w:rPr>
        <w:t xml:space="preserve">"FDM SLA SLS comparison" additive manufacturing 2022–2024 → Look for comparative reviews in Procedia Manufacturing or CIRP Annals</w:t>
      </w:r>
    </w:p>
    <w:p>
      <w:pPr>
        <w:pStyle w:val="ListParagraph"/>
        <w:numPr>
          <w:ilvl w:val="0"/>
          <w:numId w:val="2"/>
        </w:numPr>
        <w:spacing w:after="100" w:line="276"/>
        <w:jc w:val="both"/>
      </w:pPr>
      <w:r>
        <w:rPr>
          <w:rFonts w:ascii="Arial" w:cs="Arial" w:eastAsia="Arial" w:hAnsi="Arial"/>
          <w:sz w:val="22"/>
          <w:szCs w:val="22"/>
        </w:rPr>
        <w:t xml:space="preserve">"FDM failure modes" OR "FDM process reliability" predictive maintenance sensor 2021–2024</w:t>
      </w:r>
    </w:p>
    <w:p>
      <w:pPr>
        <w:pStyle w:val="ListParagraph"/>
        <w:numPr>
          <w:ilvl w:val="0"/>
          <w:numId w:val="2"/>
        </w:numPr>
        <w:spacing w:after="100" w:line="276"/>
        <w:jc w:val="both"/>
      </w:pPr>
      <w:r>
        <w:rPr>
          <w:rFonts w:ascii="Arial" w:cs="Arial" w:eastAsia="Arial" w:hAnsi="Arial"/>
          <w:sz w:val="22"/>
          <w:szCs w:val="22"/>
        </w:rPr>
        <w:t xml:space="preserve">Kafle et al. (2021) Polymers 13(18) 3101 — this single paper covers all three technologies (FDM, SLA, SLS) and is Open Access. Strongly recommended.</w:t>
      </w:r>
    </w:p>
    <w:p>
      <w:pPr>
        <w:spacing w:after="120"/>
      </w:pPr>
    </w:p>
    <w:p>
      <w:pPr>
        <w:spacing w:after="100"/>
      </w:pPr>
      <w:r>
        <w:rPr>
          <w:rFonts w:ascii="Arial" w:cs="Arial" w:eastAsia="Arial" w:hAnsi="Arial"/>
          <w:b/>
          <w:bCs/>
          <w:sz w:val="22"/>
          <w:szCs w:val="22"/>
          <w:u w:val="single"/>
        </w:rPr>
        <w:t xml:space="preserve">Specific Papers Worth Finding and Reading (Foundational + Recent):</w:t>
      </w:r>
    </w:p>
    <w:p>
      <w:pPr>
        <w:pStyle w:val="ListParagraph"/>
        <w:numPr>
          <w:ilvl w:val="0"/>
          <w:numId w:val="2"/>
        </w:numPr>
        <w:spacing w:after="100" w:line="276"/>
        <w:jc w:val="both"/>
      </w:pPr>
      <w:r>
        <w:rPr>
          <w:rFonts w:ascii="Arial" w:cs="Arial" w:eastAsia="Arial" w:hAnsi="Arial"/>
          <w:sz w:val="22"/>
          <w:szCs w:val="22"/>
        </w:rPr>
        <w:t xml:space="preserve">Turner et al. (2014) Rapid Prototyping Journal — FDM process review [ref 22 above] — check on Google Scholar for &gt;500 citations</w:t>
      </w:r>
    </w:p>
    <w:p>
      <w:pPr>
        <w:pStyle w:val="ListParagraph"/>
        <w:numPr>
          <w:ilvl w:val="0"/>
          <w:numId w:val="2"/>
        </w:numPr>
        <w:spacing w:after="100" w:line="276"/>
        <w:jc w:val="both"/>
      </w:pPr>
      <w:r>
        <w:rPr>
          <w:rFonts w:ascii="Arial" w:cs="Arial" w:eastAsia="Arial" w:hAnsi="Arial"/>
          <w:sz w:val="22"/>
          <w:szCs w:val="22"/>
        </w:rPr>
        <w:t xml:space="preserve">Kafle et al. (2021) Polymers, MDPI — covers FDM + SLA + SLS in a single open-access paper — excellent for a comparative subsection</w:t>
      </w:r>
    </w:p>
    <w:p>
      <w:pPr>
        <w:pStyle w:val="ListParagraph"/>
        <w:numPr>
          <w:ilvl w:val="0"/>
          <w:numId w:val="2"/>
        </w:numPr>
        <w:spacing w:after="100" w:line="276"/>
        <w:jc w:val="both"/>
      </w:pPr>
      <w:r>
        <w:rPr>
          <w:rFonts w:ascii="Arial" w:cs="Arial" w:eastAsia="Arial" w:hAnsi="Arial"/>
          <w:sz w:val="22"/>
          <w:szCs w:val="22"/>
        </w:rPr>
        <w:t xml:space="preserve">Melchels et al. (2010) Biomaterials — SLA review, &gt;2000 citations, foundational reference</w:t>
      </w:r>
    </w:p>
    <w:p>
      <w:pPr>
        <w:pStyle w:val="ListParagraph"/>
        <w:numPr>
          <w:ilvl w:val="0"/>
          <w:numId w:val="2"/>
        </w:numPr>
        <w:spacing w:after="100" w:line="276"/>
        <w:jc w:val="both"/>
      </w:pPr>
      <w:r>
        <w:rPr>
          <w:rFonts w:ascii="Arial" w:cs="Arial" w:eastAsia="Arial" w:hAnsi="Arial"/>
          <w:sz w:val="22"/>
          <w:szCs w:val="22"/>
        </w:rPr>
        <w:t xml:space="preserve">Goodridge et al. (2012) Progress in Polymer Science — SLS review, Scopus Q1, highly cited</w:t>
      </w:r>
    </w:p>
    <w:p>
      <w:pPr>
        <w:pStyle w:val="ListParagraph"/>
        <w:numPr>
          <w:ilvl w:val="0"/>
          <w:numId w:val="2"/>
        </w:numPr>
        <w:spacing w:after="100" w:line="276"/>
        <w:jc w:val="both"/>
      </w:pPr>
      <w:r>
        <w:rPr>
          <w:rFonts w:ascii="Arial" w:cs="Arial" w:eastAsia="Arial" w:hAnsi="Arial"/>
          <w:sz w:val="22"/>
          <w:szCs w:val="22"/>
        </w:rPr>
        <w:t xml:space="preserve">Ali et al. (2024) Int J Adv Manuf Technol — most recent FDM composite review, Springer Q1, verifiable DOI</w:t>
      </w:r>
    </w:p>
    <w:p>
      <w:pPr>
        <w:pStyle w:val="ListParagraph"/>
        <w:numPr>
          <w:ilvl w:val="0"/>
          <w:numId w:val="2"/>
        </w:numPr>
        <w:spacing w:after="100" w:line="276"/>
        <w:jc w:val="both"/>
      </w:pPr>
      <w:r>
        <w:rPr>
          <w:rFonts w:ascii="Arial" w:cs="Arial" w:eastAsia="Arial" w:hAnsi="Arial"/>
          <w:sz w:val="22"/>
          <w:szCs w:val="22"/>
        </w:rPr>
        <w:t xml:space="preserve">Song &amp; Telenko (2016) — FDM failure rates under realistic conditions [already ref 12 in your assembled doc]</w:t>
      </w:r>
    </w:p>
    <w:p>
      <w:pPr>
        <w:spacing w:after="120"/>
      </w:pPr>
    </w:p>
    <w:p>
      <w:pPr>
        <w:spacing w:after="100"/>
      </w:pPr>
      <w:r>
        <w:rPr>
          <w:rFonts w:ascii="Arial" w:cs="Arial" w:eastAsia="Arial" w:hAnsi="Arial"/>
          <w:b/>
          <w:bCs/>
          <w:sz w:val="22"/>
          <w:szCs w:val="22"/>
          <w:u w:val="single"/>
        </w:rPr>
        <w:t xml:space="preserve">Notes on Your Supervision Constraints:</w:t>
      </w:r>
    </w:p>
    <w:p>
      <w:pPr>
        <w:pStyle w:val="ListParagraph"/>
        <w:numPr>
          <w:ilvl w:val="0"/>
          <w:numId w:val="2"/>
        </w:numPr>
        <w:spacing w:after="100" w:line="276"/>
        <w:jc w:val="both"/>
      </w:pPr>
      <w:r>
        <w:rPr>
          <w:rFonts w:ascii="Arial" w:cs="Arial" w:eastAsia="Arial" w:hAnsi="Arial"/>
          <w:sz w:val="22"/>
          <w:szCs w:val="22"/>
        </w:rPr>
        <w:t xml:space="preserve">All 9 new references above [21]–[29] are peer-reviewed journal articles, conference papers, or an industry benchmark report. No websites were used.</w:t>
      </w:r>
    </w:p>
    <w:p>
      <w:pPr>
        <w:pStyle w:val="ListParagraph"/>
        <w:numPr>
          <w:ilvl w:val="0"/>
          <w:numId w:val="2"/>
        </w:numPr>
        <w:spacing w:after="100" w:line="276"/>
        <w:jc w:val="both"/>
      </w:pPr>
      <w:r>
        <w:rPr>
          <w:rFonts w:ascii="Arial" w:cs="Arial" w:eastAsia="Arial" w:hAnsi="Arial"/>
          <w:sz w:val="22"/>
          <w:szCs w:val="22"/>
        </w:rPr>
        <w:t xml:space="preserve">References [21], [24], [26] are Open Access — you can download and read them for free to verify the content before citing.</w:t>
      </w:r>
    </w:p>
    <w:p>
      <w:pPr>
        <w:pStyle w:val="ListParagraph"/>
        <w:numPr>
          <w:ilvl w:val="0"/>
          <w:numId w:val="2"/>
        </w:numPr>
        <w:spacing w:after="100" w:line="276"/>
        <w:jc w:val="both"/>
      </w:pPr>
      <w:r>
        <w:rPr>
          <w:rFonts w:ascii="Arial" w:cs="Arial" w:eastAsia="Arial" w:hAnsi="Arial"/>
          <w:sz w:val="22"/>
          <w:szCs w:val="22"/>
        </w:rPr>
        <w:t xml:space="preserve">References [22], [27], [28] are highly cited (&gt;500 citations) — they carry strong academic weight.</w:t>
      </w:r>
    </w:p>
    <w:p>
      <w:pPr>
        <w:pStyle w:val="ListParagraph"/>
        <w:numPr>
          <w:ilvl w:val="0"/>
          <w:numId w:val="2"/>
        </w:numPr>
        <w:spacing w:after="100" w:line="276"/>
        <w:jc w:val="both"/>
      </w:pPr>
      <w:r>
        <w:rPr>
          <w:rFonts w:ascii="Arial" w:cs="Arial" w:eastAsia="Arial" w:hAnsi="Arial"/>
          <w:sz w:val="22"/>
          <w:szCs w:val="22"/>
        </w:rPr>
        <w:t xml:space="preserve">If your supervisor rejects the Wohlers Report [23] as a market report, replace it with: Dilberoglu et al. (2017) Procedia Manufacturing 11, 545–554 — already [6] in your assembled doc — which also discusses FDM market position.</w:t>
      </w:r>
    </w:p>
    <w:p>
      <w:pPr>
        <w:pStyle w:val="ListParagraph"/>
        <w:numPr>
          <w:ilvl w:val="0"/>
          <w:numId w:val="2"/>
        </w:numPr>
        <w:spacing w:after="100" w:line="276"/>
        <w:jc w:val="both"/>
      </w:pPr>
      <w:r>
        <w:rPr>
          <w:rFonts w:ascii="Arial" w:cs="Arial" w:eastAsia="Arial" w:hAnsi="Arial"/>
          <w:sz w:val="22"/>
          <w:szCs w:val="22"/>
        </w:rPr>
        <w:t xml:space="preserve">For the comparison table (Table 1.1), cite [26] (Kafle et al., 2021) as the primary source alongside [21], [28] — it explicitly compares all three technologies.</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20"/>
      <w:outlineLvl w:val="1"/>
    </w:pPr>
    <w:rPr>
      <w:rFonts w:ascii="Arial" w:cs="Arial" w:eastAsia="Arial" w:hAnsi="Arial"/>
      <w:b/>
      <w:bCs/>
      <w:sz w:val="28"/>
      <w:szCs w:val="28"/>
    </w:rPr>
  </w:style>
  <w:style w:type="paragraph" w:styleId="Heading3">
    <w:name w:val="Heading 3"/>
    <w:basedOn w:val="Normal"/>
    <w:next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2026-05-09T14:30:16.425Z</dcterms:created>
  <dcterms:modified xsi:type="dcterms:W3CDTF">2026-05-09T14:30:16.441Z</dcterms:modified>
</cp:coreProperties>
</file>

<file path=docProps/custom.xml><?xml version="1.0" encoding="utf-8"?>
<Properties xmlns="http://schemas.openxmlformats.org/officeDocument/2006/custom-properties" xmlns:vt="http://schemas.openxmlformats.org/officeDocument/2006/docPropsVTypes"/>
</file>