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80" w:before="320"/>
      </w:pPr>
      <w:r>
        <w:rPr>
          <w:rFonts w:ascii="Arial" w:cs="Arial" w:eastAsia="Arial" w:hAnsi="Arial"/>
          <w:b/>
          <w:bCs/>
          <w:sz w:val="28"/>
          <w:szCs w:val="28"/>
        </w:rPr>
        <w:t xml:space="preserve">1.5  Digital Twin Concept</w:t>
      </w:r>
    </w:p>
    <w:p>
      <w:pPr>
        <w:spacing w:after="160" w:line="276"/>
        <w:jc w:val="both"/>
      </w:pPr>
      <w:r>
        <w:rPr>
          <w:rFonts w:ascii="Arial" w:cs="Arial" w:eastAsia="Arial" w:hAnsi="Arial"/>
          <w:sz w:val="22"/>
          <w:szCs w:val="22"/>
        </w:rPr>
        <w:t xml:space="preserve">The digital twin (DT) has emerged as one of the most transformative concepts in Industry 4.0, providing a unified framework that bridges the physical and digital worlds through real-time data exchange and bidirectional synchronisation. This section traces the origins and evolution of the concept, establishes a precise definition supported by the academic consensus, clarifies the critical distinction between a digital twin, a digital model, and a digital shadow, and surveys the principal industrial application domains — positioning the present thesis within this landscape.</w:t>
      </w:r>
    </w:p>
    <w:p>
      <w:pPr>
        <w:pStyle w:val="Heading3"/>
        <w:spacing w:after="140" w:before="240"/>
      </w:pPr>
      <w:r>
        <w:rPr>
          <w:rFonts w:ascii="Arial" w:cs="Arial" w:eastAsia="Arial" w:hAnsi="Arial"/>
          <w:b/>
          <w:bCs/>
          <w:sz w:val="24"/>
          <w:szCs w:val="24"/>
        </w:rPr>
        <w:t xml:space="preserve">1.5.1  Definition</w:t>
      </w:r>
    </w:p>
    <w:p>
      <w:pPr>
        <w:spacing w:after="160" w:line="276"/>
        <w:jc w:val="both"/>
      </w:pPr>
      <w:r>
        <w:rPr>
          <w:rFonts w:ascii="Arial" w:cs="Arial" w:eastAsia="Arial" w:hAnsi="Arial"/>
          <w:sz w:val="22"/>
          <w:szCs w:val="22"/>
        </w:rPr>
        <w:t xml:space="preserve">The term </w:t>
      </w:r>
      <w:r>
        <w:rPr>
          <w:rFonts w:ascii="Arial" w:cs="Arial" w:eastAsia="Arial" w:hAnsi="Arial"/>
          <w:b/>
          <w:bCs/>
          <w:sz w:val="22"/>
          <w:szCs w:val="22"/>
        </w:rPr>
        <w:t xml:space="preserve">digital twin</w:t>
      </w:r>
      <w:r>
        <w:rPr>
          <w:rFonts w:ascii="Arial" w:cs="Arial" w:eastAsia="Arial" w:hAnsi="Arial"/>
          <w:sz w:val="22"/>
          <w:szCs w:val="22"/>
        </w:rPr>
        <w:t xml:space="preserve"> (DT) refers to a </w:t>
      </w:r>
      <w:r>
        <w:rPr>
          <w:rFonts w:ascii="Arial" w:cs="Arial" w:eastAsia="Arial" w:hAnsi="Arial"/>
          <w:b/>
          <w:bCs/>
          <w:sz w:val="22"/>
          <w:szCs w:val="22"/>
        </w:rPr>
        <w:t xml:space="preserve">virtual representation of a physical system that is continuously synchronised with its real-world counterpart through real-time data exchange</w:t>
      </w:r>
      <w:r>
        <w:rPr>
          <w:rFonts w:ascii="Arial" w:cs="Arial" w:eastAsia="Arial" w:hAnsi="Arial"/>
          <w:sz w:val="22"/>
          <w:szCs w:val="22"/>
        </w:rPr>
        <w:t xml:space="preserve">, enabling monitoring, simulation, prediction, and optimisation across the asset's lifecycle </w:t>
      </w:r>
      <w:r>
        <w:rPr>
          <w:rFonts w:ascii="Arial" w:cs="Arial" w:eastAsia="Arial" w:hAnsi="Arial"/>
          <w:b/>
          <w:bCs/>
          <w:sz w:val="22"/>
          <w:szCs w:val="22"/>
        </w:rPr>
        <w:t xml:space="preserve">[39]</w:t>
      </w:r>
      <w:r>
        <w:rPr>
          <w:rFonts w:ascii="Arial" w:cs="Arial" w:eastAsia="Arial" w:hAnsi="Arial"/>
          <w:sz w:val="22"/>
          <w:szCs w:val="22"/>
        </w:rPr>
        <w:t xml:space="preserve">. Unlike static CAD models or periodic simulations, a true digital twin maintains a </w:t>
      </w:r>
      <w:r>
        <w:rPr>
          <w:rFonts w:ascii="Arial" w:cs="Arial" w:eastAsia="Arial" w:hAnsi="Arial"/>
          <w:i/>
          <w:iCs/>
          <w:sz w:val="22"/>
          <w:szCs w:val="22"/>
        </w:rPr>
        <w:t xml:space="preserve">living</w:t>
      </w:r>
      <w:r>
        <w:rPr>
          <w:rFonts w:ascii="Arial" w:cs="Arial" w:eastAsia="Arial" w:hAnsi="Arial"/>
          <w:sz w:val="22"/>
          <w:szCs w:val="22"/>
        </w:rPr>
        <w:t xml:space="preserve"> connection to its physical counterpart: sensor data flows continuously from the physical entity to update the virtual model, and analytical outputs or commands flow back to inform or control the physical system </w:t>
      </w:r>
      <w:r>
        <w:rPr>
          <w:rFonts w:ascii="Arial" w:cs="Arial" w:eastAsia="Arial" w:hAnsi="Arial"/>
          <w:b/>
          <w:bCs/>
          <w:sz w:val="22"/>
          <w:szCs w:val="22"/>
        </w:rPr>
        <w:t xml:space="preserve">[40]</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Several foundational definitions have been proposed across the academic and industrial literature, each emphasising different facets of the concept:</w:t>
      </w:r>
    </w:p>
    <w:p>
      <w:pPr>
        <w:pStyle w:val="ListParagraph"/>
        <w:numPr>
          <w:ilvl w:val="0"/>
          <w:numId w:val="2"/>
        </w:numPr>
        <w:spacing w:after="100" w:line="276"/>
        <w:jc w:val="both"/>
      </w:pPr>
      <w:r>
        <w:rPr>
          <w:rFonts w:ascii="Arial" w:cs="Arial" w:eastAsia="Arial" w:hAnsi="Arial"/>
          <w:b/>
          <w:bCs/>
          <w:sz w:val="22"/>
          <w:szCs w:val="22"/>
        </w:rPr>
        <w:t xml:space="preserve">Grieves (2014)</w:t>
      </w:r>
      <w:r>
        <w:rPr>
          <w:rFonts w:ascii="Arial" w:cs="Arial" w:eastAsia="Arial" w:hAnsi="Arial"/>
          <w:sz w:val="22"/>
          <w:szCs w:val="22"/>
        </w:rPr>
        <w:t xml:space="preserve"> — the originator of the concept — defined the DT as comprising three inseparable elements: (1) a physical product in real space, (2) a virtual product in virtual space, and (3) the connections of data and information that link the two [41].</w:t>
      </w:r>
    </w:p>
    <w:p>
      <w:pPr>
        <w:pStyle w:val="ListParagraph"/>
        <w:numPr>
          <w:ilvl w:val="0"/>
          <w:numId w:val="2"/>
        </w:numPr>
        <w:spacing w:after="100" w:line="276"/>
        <w:jc w:val="both"/>
      </w:pPr>
      <w:r>
        <w:rPr>
          <w:rFonts w:ascii="Arial" w:cs="Arial" w:eastAsia="Arial" w:hAnsi="Arial"/>
          <w:b/>
          <w:bCs/>
          <w:sz w:val="22"/>
          <w:szCs w:val="22"/>
        </w:rPr>
        <w:t xml:space="preserve">Tao et al. (2019)</w:t>
      </w:r>
      <w:r>
        <w:rPr>
          <w:rFonts w:ascii="Arial" w:cs="Arial" w:eastAsia="Arial" w:hAnsi="Arial"/>
          <w:sz w:val="22"/>
          <w:szCs w:val="22"/>
        </w:rPr>
        <w:t xml:space="preserve"> extended this into a </w:t>
      </w:r>
      <w:r>
        <w:rPr>
          <w:rFonts w:ascii="Arial" w:cs="Arial" w:eastAsia="Arial" w:hAnsi="Arial"/>
          <w:i/>
          <w:iCs/>
          <w:sz w:val="22"/>
          <w:szCs w:val="22"/>
        </w:rPr>
        <w:t xml:space="preserve">five-dimension model</w:t>
      </w:r>
      <w:r>
        <w:rPr>
          <w:rFonts w:ascii="Arial" w:cs="Arial" w:eastAsia="Arial" w:hAnsi="Arial"/>
          <w:sz w:val="22"/>
          <w:szCs w:val="22"/>
        </w:rPr>
        <w:t xml:space="preserve">: Physical Entity (PE), Virtual Entity (VE), Services (Ss), Twin Data (DD), and Connections (CN) — formally expressed as DT = {PE, VE, Ss, DD, CN} — which has become the dominant reference architecture in the manufacturing and Industry 4.0 literature </w:t>
      </w:r>
      <w:r>
        <w:rPr>
          <w:rFonts w:ascii="Arial" w:cs="Arial" w:eastAsia="Arial" w:hAnsi="Arial"/>
          <w:b/>
          <w:bCs/>
          <w:sz w:val="22"/>
          <w:szCs w:val="22"/>
        </w:rPr>
        <w:t xml:space="preserve">[15]</w:t>
      </w:r>
      <w:r>
        <w:rPr>
          <w:rFonts w:ascii="Arial" w:cs="Arial" w:eastAsia="Arial" w:hAnsi="Arial"/>
          <w:sz w:val="22"/>
          <w:szCs w:val="22"/>
        </w:rPr>
        <w:t xml:space="preserve">.</w:t>
      </w:r>
    </w:p>
    <w:p>
      <w:pPr>
        <w:pStyle w:val="ListParagraph"/>
        <w:numPr>
          <w:ilvl w:val="0"/>
          <w:numId w:val="2"/>
        </w:numPr>
        <w:spacing w:after="100" w:line="276"/>
        <w:jc w:val="both"/>
      </w:pPr>
      <w:r>
        <w:rPr>
          <w:rFonts w:ascii="Arial" w:cs="Arial" w:eastAsia="Arial" w:hAnsi="Arial"/>
          <w:b/>
          <w:bCs/>
          <w:sz w:val="22"/>
          <w:szCs w:val="22"/>
        </w:rPr>
        <w:t xml:space="preserve">Rasheed, San &amp; Kvamsdal (2020)</w:t>
      </w:r>
      <w:r>
        <w:rPr>
          <w:rFonts w:ascii="Arial" w:cs="Arial" w:eastAsia="Arial" w:hAnsi="Arial"/>
          <w:sz w:val="22"/>
          <w:szCs w:val="22"/>
        </w:rPr>
        <w:t xml:space="preserve"> define a DT as </w:t>
      </w:r>
      <w:r>
        <w:rPr>
          <w:rFonts w:ascii="Arial" w:cs="Arial" w:eastAsia="Arial" w:hAnsi="Arial"/>
          <w:i/>
          <w:iCs/>
          <w:sz w:val="22"/>
          <w:szCs w:val="22"/>
        </w:rPr>
        <w:t xml:space="preserve">"an integrated multi-physics, multi-scale simulation of a vehicle or system that uses the best available physical models, sensor updates, fleet history, etc., to mirror the life of its corresponding physical twin"</w:t>
      </w:r>
      <w:r>
        <w:rPr>
          <w:rFonts w:ascii="Arial" w:cs="Arial" w:eastAsia="Arial" w:hAnsi="Arial"/>
          <w:sz w:val="22"/>
          <w:szCs w:val="22"/>
        </w:rPr>
        <w:t xml:space="preserve">, emphasising fidelity, uncertainty quantification, and lifecycle scope </w:t>
      </w:r>
      <w:r>
        <w:rPr>
          <w:rFonts w:ascii="Arial" w:cs="Arial" w:eastAsia="Arial" w:hAnsi="Arial"/>
          <w:b/>
          <w:bCs/>
          <w:sz w:val="22"/>
          <w:szCs w:val="22"/>
        </w:rPr>
        <w:t xml:space="preserve">[39]</w:t>
      </w:r>
      <w:r>
        <w:rPr>
          <w:rFonts w:ascii="Arial" w:cs="Arial" w:eastAsia="Arial" w:hAnsi="Arial"/>
          <w:sz w:val="22"/>
          <w:szCs w:val="22"/>
        </w:rPr>
        <w:t xml:space="preserve">.</w:t>
      </w:r>
    </w:p>
    <w:p>
      <w:pPr>
        <w:pStyle w:val="ListParagraph"/>
        <w:numPr>
          <w:ilvl w:val="0"/>
          <w:numId w:val="2"/>
        </w:numPr>
        <w:spacing w:after="100" w:line="276"/>
        <w:jc w:val="both"/>
      </w:pPr>
      <w:r>
        <w:rPr>
          <w:rFonts w:ascii="Arial" w:cs="Arial" w:eastAsia="Arial" w:hAnsi="Arial"/>
          <w:b/>
          <w:bCs/>
          <w:sz w:val="22"/>
          <w:szCs w:val="22"/>
        </w:rPr>
        <w:t xml:space="preserve">NASA (Glaessgen &amp; Stargel, 2012)</w:t>
      </w:r>
      <w:r>
        <w:rPr>
          <w:rFonts w:ascii="Arial" w:cs="Arial" w:eastAsia="Arial" w:hAnsi="Arial"/>
          <w:sz w:val="22"/>
          <w:szCs w:val="22"/>
        </w:rPr>
        <w:t xml:space="preserve"> — where the term was coined — defined DT as an </w:t>
      </w:r>
      <w:r>
        <w:rPr>
          <w:rFonts w:ascii="Arial" w:cs="Arial" w:eastAsia="Arial" w:hAnsi="Arial"/>
          <w:i/>
          <w:iCs/>
          <w:sz w:val="22"/>
          <w:szCs w:val="22"/>
        </w:rPr>
        <w:t xml:space="preserve">"integrated multi-physics, multi-scale, probabilistic simulation of an as-built system that uses the best available models, sensor information, and input data to mirror and predict activities and performance over the life of its corresponding physical twin"</w:t>
      </w:r>
      <w:r>
        <w:rPr>
          <w:rFonts w:ascii="Arial" w:cs="Arial" w:eastAsia="Arial" w:hAnsi="Arial"/>
          <w:sz w:val="22"/>
          <w:szCs w:val="22"/>
        </w:rPr>
        <w:t xml:space="preserve"> </w:t>
      </w:r>
      <w:r>
        <w:rPr>
          <w:rFonts w:ascii="Arial" w:cs="Arial" w:eastAsia="Arial" w:hAnsi="Arial"/>
          <w:b/>
          <w:bCs/>
          <w:sz w:val="22"/>
          <w:szCs w:val="22"/>
        </w:rPr>
        <w:t xml:space="preserve">[42]</w:t>
      </w:r>
      <w:r>
        <w:rPr>
          <w:rFonts w:ascii="Arial" w:cs="Arial" w:eastAsia="Arial" w:hAnsi="Arial"/>
          <w:sz w:val="22"/>
          <w:szCs w:val="22"/>
        </w:rPr>
        <w:t xml:space="preserve">.</w:t>
      </w:r>
    </w:p>
    <w:p>
      <w:pPr>
        <w:spacing w:after="120"/>
      </w:pPr>
    </w:p>
    <w:p>
      <w:pPr>
        <w:spacing w:after="160" w:line="276"/>
        <w:jc w:val="both"/>
      </w:pPr>
      <w:r>
        <w:rPr>
          <w:rFonts w:ascii="Arial" w:cs="Arial" w:eastAsia="Arial" w:hAnsi="Arial"/>
          <w:sz w:val="22"/>
          <w:szCs w:val="22"/>
        </w:rPr>
        <w:t xml:space="preserve">Across all definitions, three </w:t>
      </w:r>
      <w:r>
        <w:rPr>
          <w:rFonts w:ascii="Arial" w:cs="Arial" w:eastAsia="Arial" w:hAnsi="Arial"/>
          <w:b/>
          <w:bCs/>
          <w:sz w:val="22"/>
          <w:szCs w:val="22"/>
        </w:rPr>
        <w:t xml:space="preserve">irreducible components</w:t>
      </w:r>
      <w:r>
        <w:rPr>
          <w:rFonts w:ascii="Arial" w:cs="Arial" w:eastAsia="Arial" w:hAnsi="Arial"/>
          <w:sz w:val="22"/>
          <w:szCs w:val="22"/>
        </w:rPr>
        <w:t xml:space="preserve"> recur consistently [40][41][42]: a </w:t>
      </w:r>
      <w:r>
        <w:rPr>
          <w:rFonts w:ascii="Arial" w:cs="Arial" w:eastAsia="Arial" w:hAnsi="Arial"/>
          <w:b/>
          <w:bCs/>
          <w:sz w:val="22"/>
          <w:szCs w:val="22"/>
        </w:rPr>
        <w:t xml:space="preserve">physical entity</w:t>
      </w:r>
      <w:r>
        <w:rPr>
          <w:rFonts w:ascii="Arial" w:cs="Arial" w:eastAsia="Arial" w:hAnsi="Arial"/>
          <w:sz w:val="22"/>
          <w:szCs w:val="22"/>
        </w:rPr>
        <w:t xml:space="preserve"> (the real machine, system, or process), a </w:t>
      </w:r>
      <w:r>
        <w:rPr>
          <w:rFonts w:ascii="Arial" w:cs="Arial" w:eastAsia="Arial" w:hAnsi="Arial"/>
          <w:b/>
          <w:bCs/>
          <w:sz w:val="22"/>
          <w:szCs w:val="22"/>
        </w:rPr>
        <w:t xml:space="preserve">virtual entity</w:t>
      </w:r>
      <w:r>
        <w:rPr>
          <w:rFonts w:ascii="Arial" w:cs="Arial" w:eastAsia="Arial" w:hAnsi="Arial"/>
          <w:sz w:val="22"/>
          <w:szCs w:val="22"/>
        </w:rPr>
        <w:t xml:space="preserve"> (its digital representation, including geometry, behaviour models, and state data), and a </w:t>
      </w:r>
      <w:r>
        <w:rPr>
          <w:rFonts w:ascii="Arial" w:cs="Arial" w:eastAsia="Arial" w:hAnsi="Arial"/>
          <w:b/>
          <w:bCs/>
          <w:sz w:val="22"/>
          <w:szCs w:val="22"/>
        </w:rPr>
        <w:t xml:space="preserve">data connection</w:t>
      </w:r>
      <w:r>
        <w:rPr>
          <w:rFonts w:ascii="Arial" w:cs="Arial" w:eastAsia="Arial" w:hAnsi="Arial"/>
          <w:sz w:val="22"/>
          <w:szCs w:val="22"/>
        </w:rPr>
        <w:t xml:space="preserve"> (the real-time, automated link that keeps the two synchronised). The present thesis implements all three: the FDM 3D printer constitutes the physical entity, the CAD model combined with the behavioural monitoring engine forms the virtual entity, and the IoT data pipeline (ESP32 → MQTT → InfluxDB) provides the data connection.</w:t>
      </w:r>
    </w:p>
    <w:p>
      <w:pPr>
        <w:pStyle w:val="Heading3"/>
        <w:spacing w:after="140" w:before="240"/>
      </w:pPr>
      <w:r>
        <w:rPr>
          <w:rFonts w:ascii="Arial" w:cs="Arial" w:eastAsia="Arial" w:hAnsi="Arial"/>
          <w:b/>
          <w:bCs/>
          <w:sz w:val="24"/>
          <w:szCs w:val="24"/>
        </w:rPr>
        <w:t xml:space="preserve">1.5.2  History</w:t>
      </w:r>
    </w:p>
    <w:p>
      <w:pPr>
        <w:spacing w:after="160" w:line="276"/>
        <w:jc w:val="both"/>
      </w:pPr>
      <w:r>
        <w:rPr>
          <w:rFonts w:ascii="Arial" w:cs="Arial" w:eastAsia="Arial" w:hAnsi="Arial"/>
          <w:sz w:val="22"/>
          <w:szCs w:val="22"/>
        </w:rPr>
        <w:t xml:space="preserve">Although the term </w:t>
      </w:r>
      <w:r>
        <w:rPr>
          <w:rFonts w:ascii="Arial" w:cs="Arial" w:eastAsia="Arial" w:hAnsi="Arial"/>
          <w:b/>
          <w:bCs/>
          <w:sz w:val="22"/>
          <w:szCs w:val="22"/>
        </w:rPr>
        <w:t xml:space="preserve">digital twin</w:t>
      </w:r>
      <w:r>
        <w:rPr>
          <w:rFonts w:ascii="Arial" w:cs="Arial" w:eastAsia="Arial" w:hAnsi="Arial"/>
          <w:sz w:val="22"/>
          <w:szCs w:val="22"/>
        </w:rPr>
        <w:t xml:space="preserve"> entered widespread use only in the 2010s, its conceptual lineage extends to the earliest decades of computer-aided engineering. Table 1.3 traces the key milestones in the evolution of the DT concept from its aerospace origins to its current status as a cornerstone of Industry 4.0, synthesised from the historical reviews of Singh et al. [43] and Yao et al. [44].</w:t>
      </w:r>
    </w:p>
    <w:p>
      <w:pPr>
        <w:spacing w:after="120"/>
      </w:pPr>
    </w:p>
    <w:p>
      <w:pPr>
        <w:spacing w:after="80"/>
        <w:jc w:val="center"/>
      </w:pPr>
      <w:r>
        <w:rPr>
          <w:rFonts w:ascii="Arial" w:cs="Arial" w:eastAsia="Arial" w:hAnsi="Arial"/>
          <w:i/>
          <w:iCs/>
          <w:sz w:val="20"/>
          <w:szCs w:val="20"/>
        </w:rPr>
        <w:t xml:space="preserve">Table 1.3 – Historical evolution of the Digital Twin concept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000"/>
      </w:tblGrid>
      <w:t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c>
          <w:tcPr>
            <w:tcW w:type="dxa" w:w="21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6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 / Contribution</w:t>
            </w:r>
          </w:p>
        </w:tc>
      </w:tr>
      <w:tr>
        <w:tc>
          <w:tcPr>
            <w:tcW w:type="dxa" w:w="9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bCs/>
                <w:sz w:val="20"/>
                <w:szCs w:val="20"/>
              </w:rPr>
              <w:t xml:space="preserve">1960s</w:t>
            </w:r>
          </w:p>
        </w:tc>
        <w:tc>
          <w:tcPr>
            <w:tcW w:type="dxa" w:w="21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NASA (Apollo programme)</w:t>
            </w:r>
          </w:p>
        </w:tc>
        <w:tc>
          <w:tcPr>
            <w:tcW w:type="dxa" w:w="60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Introduced physical "twin" concept: an identical ground replica of the spacecraft used to simulate and troubleshoot the orbiting vehicle in real time. First practical predecessor of the DT.</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20"/>
                <w:szCs w:val="20"/>
              </w:rPr>
              <w:t xml:space="preserve">1991</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David Gelernter</w:t>
            </w:r>
          </w:p>
        </w:tc>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Published Mirror Worlds — envisioned software models that mirror reality from information received from the physical world. Conceptual forerunner to DT.</w:t>
            </w:r>
          </w:p>
        </w:tc>
      </w:tr>
      <w:tr>
        <w:tc>
          <w:tcPr>
            <w:tcW w:type="dxa" w:w="9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bCs/>
                <w:sz w:val="20"/>
                <w:szCs w:val="20"/>
              </w:rPr>
              <w:t xml:space="preserve">2002</w:t>
            </w:r>
          </w:p>
        </w:tc>
        <w:tc>
          <w:tcPr>
            <w:tcW w:type="dxa" w:w="21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Michael Grieves (Univ. of Michigan)</w:t>
            </w:r>
          </w:p>
        </w:tc>
        <w:tc>
          <w:tcPr>
            <w:tcW w:type="dxa" w:w="60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Formalised the Mirrored Spaces Model within PLM context: three components — Real Space, Virtual Space, and a bidirectional data/information link. First academic formulation of DT.</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20"/>
                <w:szCs w:val="20"/>
              </w:rPr>
              <w:t xml:space="preserve">2006</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Grieves (revision)</w:t>
            </w:r>
          </w:p>
        </w:tc>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Renamed model to Information Mirroring Model; emphasised bidirectionality and multiple virtual spaces for a single physical asset.</w:t>
            </w:r>
          </w:p>
        </w:tc>
      </w:tr>
      <w:tr>
        <w:tc>
          <w:tcPr>
            <w:tcW w:type="dxa" w:w="9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bCs/>
                <w:sz w:val="20"/>
                <w:szCs w:val="20"/>
              </w:rPr>
              <w:t xml:space="preserve">2010</w:t>
            </w:r>
          </w:p>
        </w:tc>
        <w:tc>
          <w:tcPr>
            <w:tcW w:type="dxa" w:w="21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NASA (Glaessgen &amp; Stargel)</w:t>
            </w:r>
          </w:p>
        </w:tc>
        <w:tc>
          <w:tcPr>
            <w:tcW w:type="dxa" w:w="60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Coined the term "Digital Twin" in NASA's Technology Roadmap. Defined DT as "an integrated multi-physics, multi-scale, probabilistic simulation of a vehicle or system that uses the best available physical models, sensor updates, and fleet history to mirror the life of its flying twin".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20"/>
                <w:szCs w:val="20"/>
              </w:rPr>
              <w:t xml:space="preserve">2014</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Grieves (White Paper)</w:t>
            </w:r>
          </w:p>
        </w:tc>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Published the three-component DT model: (a) physical products in Real Space, (b) virtual products in Virtual Space, (c) connections of data and information between real and virtual.</w:t>
            </w:r>
          </w:p>
        </w:tc>
      </w:tr>
      <w:tr>
        <w:tc>
          <w:tcPr>
            <w:tcW w:type="dxa" w:w="9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bCs/>
                <w:sz w:val="20"/>
                <w:szCs w:val="20"/>
              </w:rPr>
              <w:t xml:space="preserve">2016–2018</w:t>
            </w:r>
          </w:p>
        </w:tc>
        <w:tc>
          <w:tcPr>
            <w:tcW w:type="dxa" w:w="21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Tao, Zhang et al. (Beihang Univ.)</w:t>
            </w:r>
          </w:p>
        </w:tc>
        <w:tc>
          <w:tcPr>
            <w:tcW w:type="dxa" w:w="60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Proposed the five-dimension DT model: Physical Entity (PE), Virtual Entity (VE), Services (Ss), Twin Data (DD), and Connections (CN) — now the dominant reference architecture.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20"/>
                <w:szCs w:val="20"/>
              </w:rPr>
              <w:t xml:space="preserve">2018</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Kritzinger et al. (TU Wien)</w:t>
            </w:r>
          </w:p>
        </w:tc>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Published the most widely cited DT taxonomy (&gt;736 citations): distinguished Digital Model, Digital Shadow, and Digital Twin based on data-flow automation and directionality.</w:t>
            </w:r>
          </w:p>
        </w:tc>
      </w:tr>
      <w:tr>
        <w:tc>
          <w:tcPr>
            <w:tcW w:type="dxa" w:w="9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bCs/>
                <w:sz w:val="20"/>
                <w:szCs w:val="20"/>
              </w:rPr>
              <w:t xml:space="preserve">2020–present</w:t>
            </w:r>
          </w:p>
        </w:tc>
        <w:tc>
          <w:tcPr>
            <w:tcW w:type="dxa" w:w="21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Global Industry &amp; Academia</w:t>
            </w:r>
          </w:p>
        </w:tc>
        <w:tc>
          <w:tcPr>
            <w:tcW w:type="dxa" w:w="60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20"/>
                <w:szCs w:val="20"/>
              </w:rPr>
              <w:t xml:space="preserve">DT adopted across aerospace, manufacturing, healthcare, smart cities, energy, and additive manufacturing. Market exceeds USD 10B; projected CAGR &gt;60% through 2030.</w:t>
            </w:r>
          </w:p>
        </w:tc>
      </w:tr>
    </w:tbl>
    <w:p>
      <w:pPr>
        <w:spacing w:after="120"/>
      </w:pPr>
    </w:p>
    <w:p>
      <w:pPr>
        <w:spacing w:after="120"/>
      </w:pPr>
    </w:p>
    <w:p>
      <w:pPr>
        <w:spacing w:after="160" w:line="276"/>
        <w:jc w:val="both"/>
      </w:pPr>
      <w:r>
        <w:rPr>
          <w:rFonts w:ascii="Arial" w:cs="Arial" w:eastAsia="Arial" w:hAnsi="Arial"/>
          <w:sz w:val="22"/>
          <w:szCs w:val="22"/>
        </w:rPr>
        <w:t xml:space="preserve">Three periods are particularly significant for understanding the DT as it is implemented in this thesis. First, </w:t>
      </w:r>
      <w:r>
        <w:rPr>
          <w:rFonts w:ascii="Arial" w:cs="Arial" w:eastAsia="Arial" w:hAnsi="Arial"/>
          <w:b/>
          <w:bCs/>
          <w:sz w:val="22"/>
          <w:szCs w:val="22"/>
        </w:rPr>
        <w:t xml:space="preserve">Grieves' 2002 formulation</w:t>
      </w:r>
      <w:r>
        <w:rPr>
          <w:rFonts w:ascii="Arial" w:cs="Arial" w:eastAsia="Arial" w:hAnsi="Arial"/>
          <w:sz w:val="22"/>
          <w:szCs w:val="22"/>
        </w:rPr>
        <w:t xml:space="preserve"> established the three-component conceptual model and its grounding in product lifecycle management — making the DT a tool for managing assets throughout their operational life, not just at design time. Second, </w:t>
      </w:r>
      <w:r>
        <w:rPr>
          <w:rFonts w:ascii="Arial" w:cs="Arial" w:eastAsia="Arial" w:hAnsi="Arial"/>
          <w:b/>
          <w:bCs/>
          <w:sz w:val="22"/>
          <w:szCs w:val="22"/>
        </w:rPr>
        <w:t xml:space="preserve">NASA's 2010 operationalisation</w:t>
      </w:r>
      <w:r>
        <w:rPr>
          <w:rFonts w:ascii="Arial" w:cs="Arial" w:eastAsia="Arial" w:hAnsi="Arial"/>
          <w:sz w:val="22"/>
          <w:szCs w:val="22"/>
        </w:rPr>
        <w:t xml:space="preserve"> introduced the requirement for real-time sensor updates and probabilistic simulation, elevating the concept from a design tool to a live monitoring instrument. Third, </w:t>
      </w:r>
      <w:r>
        <w:rPr>
          <w:rFonts w:ascii="Arial" w:cs="Arial" w:eastAsia="Arial" w:hAnsi="Arial"/>
          <w:b/>
          <w:bCs/>
          <w:sz w:val="22"/>
          <w:szCs w:val="22"/>
        </w:rPr>
        <w:t xml:space="preserve">Tao et al.'s five-dimension model (2016–2019)</w:t>
      </w:r>
      <w:r>
        <w:rPr>
          <w:rFonts w:ascii="Arial" w:cs="Arial" w:eastAsia="Arial" w:hAnsi="Arial"/>
          <w:sz w:val="22"/>
          <w:szCs w:val="22"/>
        </w:rPr>
        <w:t xml:space="preserve"> introduced the </w:t>
      </w:r>
      <w:r>
        <w:rPr>
          <w:rFonts w:ascii="Arial" w:cs="Arial" w:eastAsia="Arial" w:hAnsi="Arial"/>
          <w:i/>
          <w:iCs/>
          <w:sz w:val="22"/>
          <w:szCs w:val="22"/>
        </w:rPr>
        <w:t xml:space="preserve">Services</w:t>
      </w:r>
      <w:r>
        <w:rPr>
          <w:rFonts w:ascii="Arial" w:cs="Arial" w:eastAsia="Arial" w:hAnsi="Arial"/>
          <w:sz w:val="22"/>
          <w:szCs w:val="22"/>
        </w:rPr>
        <w:t xml:space="preserve"> and </w:t>
      </w:r>
      <w:r>
        <w:rPr>
          <w:rFonts w:ascii="Arial" w:cs="Arial" w:eastAsia="Arial" w:hAnsi="Arial"/>
          <w:i/>
          <w:iCs/>
          <w:sz w:val="22"/>
          <w:szCs w:val="22"/>
        </w:rPr>
        <w:t xml:space="preserve">Twin Data</w:t>
      </w:r>
      <w:r>
        <w:rPr>
          <w:rFonts w:ascii="Arial" w:cs="Arial" w:eastAsia="Arial" w:hAnsi="Arial"/>
          <w:sz w:val="22"/>
          <w:szCs w:val="22"/>
        </w:rPr>
        <w:t xml:space="preserve"> dimensions </w:t>
      </w:r>
      <w:r>
        <w:rPr>
          <w:rFonts w:ascii="Arial" w:cs="Arial" w:eastAsia="Arial" w:hAnsi="Arial"/>
          <w:b/>
          <w:bCs/>
          <w:sz w:val="22"/>
          <w:szCs w:val="22"/>
        </w:rPr>
        <w:t xml:space="preserve">[15]</w:t>
      </w:r>
      <w:r>
        <w:rPr>
          <w:rFonts w:ascii="Arial" w:cs="Arial" w:eastAsia="Arial" w:hAnsi="Arial"/>
          <w:sz w:val="22"/>
          <w:szCs w:val="22"/>
        </w:rPr>
        <w:t xml:space="preserve">, enabling the DT to not merely reflect machine state but to generate predictive insights and maintenance recommendations — the precise capability implemented in this thesis.</w:t>
      </w:r>
    </w:p>
    <w:p>
      <w:pPr>
        <w:spacing w:after="160" w:line="276"/>
        <w:jc w:val="both"/>
      </w:pPr>
      <w:r>
        <w:rPr>
          <w:rFonts w:ascii="Arial" w:cs="Arial" w:eastAsia="Arial" w:hAnsi="Arial"/>
          <w:sz w:val="22"/>
          <w:szCs w:val="22"/>
        </w:rPr>
        <w:t xml:space="preserve">The growth of academic interest in digital twins has been exponential. Yao et al. [44] document that the number of DT-related publications indexed in Web of Science </w:t>
      </w:r>
      <w:r>
        <w:rPr>
          <w:rFonts w:ascii="Arial" w:cs="Arial" w:eastAsia="Arial" w:hAnsi="Arial"/>
          <w:b/>
          <w:bCs/>
          <w:sz w:val="22"/>
          <w:szCs w:val="22"/>
        </w:rPr>
        <w:t xml:space="preserve">increased by more than 1,200% between 2017 and 2022</w:t>
      </w:r>
      <w:r>
        <w:rPr>
          <w:rFonts w:ascii="Arial" w:cs="Arial" w:eastAsia="Arial" w:hAnsi="Arial"/>
          <w:sz w:val="22"/>
          <w:szCs w:val="22"/>
        </w:rPr>
        <w:t xml:space="preserve">, reflecting the technology's rapid transition from aerospace niche to cross-industry standard. The global DT market was valued at </w:t>
      </w:r>
      <w:r>
        <w:rPr>
          <w:rFonts w:ascii="Arial" w:cs="Arial" w:eastAsia="Arial" w:hAnsi="Arial"/>
          <w:b/>
          <w:bCs/>
          <w:sz w:val="22"/>
          <w:szCs w:val="22"/>
        </w:rPr>
        <w:t xml:space="preserve">USD 10.1 billion in 2023</w:t>
      </w:r>
      <w:r>
        <w:rPr>
          <w:rFonts w:ascii="Arial" w:cs="Arial" w:eastAsia="Arial" w:hAnsi="Arial"/>
          <w:sz w:val="22"/>
          <w:szCs w:val="22"/>
        </w:rPr>
        <w:t xml:space="preserve"> and is projected to exceed USD 110 billion by 2028, driven by manufacturing, aerospace, and healthcare adoption [44].</w:t>
      </w:r>
    </w:p>
    <w:p>
      <w:pPr>
        <w:pStyle w:val="Heading3"/>
        <w:spacing w:after="140" w:before="240"/>
      </w:pPr>
      <w:r>
        <w:rPr>
          <w:rFonts w:ascii="Arial" w:cs="Arial" w:eastAsia="Arial" w:hAnsi="Arial"/>
          <w:b/>
          <w:bCs/>
          <w:sz w:val="24"/>
          <w:szCs w:val="24"/>
        </w:rPr>
        <w:t xml:space="preserve">1.5.3  Difference Between Digital Model, Digital Shadow, and Digital Twin</w:t>
      </w:r>
    </w:p>
    <w:p>
      <w:pPr>
        <w:spacing w:after="160" w:line="276"/>
        <w:jc w:val="both"/>
      </w:pPr>
      <w:r>
        <w:rPr>
          <w:rFonts w:ascii="Arial" w:cs="Arial" w:eastAsia="Arial" w:hAnsi="Arial"/>
          <w:sz w:val="22"/>
          <w:szCs w:val="22"/>
        </w:rPr>
        <w:t xml:space="preserve">One of the most important contributions to the clarity of DT research is the taxonomy introduced by </w:t>
      </w:r>
      <w:r>
        <w:rPr>
          <w:rFonts w:ascii="Arial" w:cs="Arial" w:eastAsia="Arial" w:hAnsi="Arial"/>
          <w:b/>
          <w:bCs/>
          <w:sz w:val="22"/>
          <w:szCs w:val="22"/>
        </w:rPr>
        <w:t xml:space="preserve">Kritzinger et al. (2018)</w:t>
      </w:r>
      <w:r>
        <w:rPr>
          <w:rFonts w:ascii="Arial" w:cs="Arial" w:eastAsia="Arial" w:hAnsi="Arial"/>
          <w:sz w:val="22"/>
          <w:szCs w:val="22"/>
        </w:rPr>
        <w:t xml:space="preserve"> in their categorical literature review of 650+ DT publications — the most-cited paper on DT classification (&gt;736 citations). Kritzinger et al. observe that the term </w:t>
      </w:r>
      <w:r>
        <w:rPr>
          <w:rFonts w:ascii="Arial" w:cs="Arial" w:eastAsia="Arial" w:hAnsi="Arial"/>
          <w:i/>
          <w:iCs/>
          <w:sz w:val="22"/>
          <w:szCs w:val="22"/>
        </w:rPr>
        <w:t xml:space="preserve">"digital twin"</w:t>
      </w:r>
      <w:r>
        <w:rPr>
          <w:rFonts w:ascii="Arial" w:cs="Arial" w:eastAsia="Arial" w:hAnsi="Arial"/>
          <w:sz w:val="22"/>
          <w:szCs w:val="22"/>
        </w:rPr>
        <w:t xml:space="preserve"> is frequently misapplied to lower-integration virtual representations, and propose a three-tier taxonomy based on the </w:t>
      </w:r>
      <w:r>
        <w:rPr>
          <w:rFonts w:ascii="Arial" w:cs="Arial" w:eastAsia="Arial" w:hAnsi="Arial"/>
          <w:b/>
          <w:bCs/>
          <w:sz w:val="22"/>
          <w:szCs w:val="22"/>
        </w:rPr>
        <w:t xml:space="preserve">degree of automation and directionality of data flow</w:t>
      </w:r>
      <w:r>
        <w:rPr>
          <w:rFonts w:ascii="Arial" w:cs="Arial" w:eastAsia="Arial" w:hAnsi="Arial"/>
          <w:sz w:val="22"/>
          <w:szCs w:val="22"/>
        </w:rPr>
        <w:t xml:space="preserve"> between the physical and virtual entities </w:t>
      </w:r>
      <w:r>
        <w:rPr>
          <w:rFonts w:ascii="Arial" w:cs="Arial" w:eastAsia="Arial" w:hAnsi="Arial"/>
          <w:b/>
          <w:bCs/>
          <w:sz w:val="22"/>
          <w:szCs w:val="22"/>
        </w:rPr>
        <w:t xml:space="preserve">[40]</w:t>
      </w:r>
      <w:r>
        <w:rPr>
          <w:rFonts w:ascii="Arial" w:cs="Arial" w:eastAsia="Arial" w:hAnsi="Arial"/>
          <w:sz w:val="22"/>
          <w:szCs w:val="22"/>
        </w:rPr>
        <w:t xml:space="preserve">:</w:t>
      </w:r>
    </w:p>
    <w:p>
      <w:pPr>
        <w:spacing w:after="120"/>
      </w:pPr>
    </w:p>
    <w:p>
      <w:pPr>
        <w:spacing w:after="100" w:before="160"/>
      </w:pPr>
      <w:r>
        <w:rPr>
          <w:rFonts w:ascii="Arial" w:cs="Arial" w:eastAsia="Arial" w:hAnsi="Arial"/>
          <w:b/>
          <w:bCs/>
          <w:sz w:val="22"/>
          <w:szCs w:val="22"/>
          <w:u w:val="single"/>
        </w:rPr>
        <w:t xml:space="preserve">Tier 1 — Digital Model (DM)</w:t>
      </w:r>
    </w:p>
    <w:p>
      <w:pPr>
        <w:spacing w:after="160" w:line="276"/>
        <w:jc w:val="both"/>
      </w:pPr>
      <w:r>
        <w:rPr>
          <w:rFonts w:ascii="Arial" w:cs="Arial" w:eastAsia="Arial" w:hAnsi="Arial"/>
          <w:sz w:val="22"/>
          <w:szCs w:val="22"/>
        </w:rPr>
        <w:t xml:space="preserve">A </w:t>
      </w:r>
      <w:r>
        <w:rPr>
          <w:rFonts w:ascii="Arial" w:cs="Arial" w:eastAsia="Arial" w:hAnsi="Arial"/>
          <w:b/>
          <w:bCs/>
          <w:sz w:val="22"/>
          <w:szCs w:val="22"/>
        </w:rPr>
        <w:t xml:space="preserve">digital model</w:t>
      </w:r>
      <w:r>
        <w:rPr>
          <w:rFonts w:ascii="Arial" w:cs="Arial" w:eastAsia="Arial" w:hAnsi="Arial"/>
          <w:sz w:val="22"/>
          <w:szCs w:val="22"/>
        </w:rPr>
        <w:t xml:space="preserve"> is a virtual representation of a physical object in which </w:t>
      </w:r>
      <w:r>
        <w:rPr>
          <w:rFonts w:ascii="Arial" w:cs="Arial" w:eastAsia="Arial" w:hAnsi="Arial"/>
          <w:b/>
          <w:bCs/>
          <w:sz w:val="22"/>
          <w:szCs w:val="22"/>
        </w:rPr>
        <w:t xml:space="preserve">all data exchange between physical and virtual is manual</w:t>
      </w:r>
      <w:r>
        <w:rPr>
          <w:rFonts w:ascii="Arial" w:cs="Arial" w:eastAsia="Arial" w:hAnsi="Arial"/>
          <w:sz w:val="22"/>
          <w:szCs w:val="22"/>
        </w:rPr>
        <w:t xml:space="preserve"> — performed by human operators who update the model from observations or measurements. There is no automated data link. A change in the physical asset does not automatically update the model, and vice versa </w:t>
      </w:r>
      <w:r>
        <w:rPr>
          <w:rFonts w:ascii="Arial" w:cs="Arial" w:eastAsia="Arial" w:hAnsi="Arial"/>
          <w:b/>
          <w:bCs/>
          <w:sz w:val="22"/>
          <w:szCs w:val="22"/>
        </w:rPr>
        <w:t xml:space="preserve">[40]</w:t>
      </w:r>
      <w:r>
        <w:rPr>
          <w:rFonts w:ascii="Arial" w:cs="Arial" w:eastAsia="Arial" w:hAnsi="Arial"/>
          <w:sz w:val="22"/>
          <w:szCs w:val="22"/>
        </w:rPr>
        <w:t xml:space="preserve">. In the FDM printing context, an example would be a static CAD file of the printer that an engineer manually updates after a hardware modification. The model may be geometrically accurate, but it is </w:t>
      </w:r>
      <w:r>
        <w:rPr>
          <w:rFonts w:ascii="Arial" w:cs="Arial" w:eastAsia="Arial" w:hAnsi="Arial"/>
          <w:i/>
          <w:iCs/>
          <w:sz w:val="22"/>
          <w:szCs w:val="22"/>
        </w:rPr>
        <w:t xml:space="preserve">not live</w:t>
      </w:r>
      <w:r>
        <w:rPr>
          <w:rFonts w:ascii="Arial" w:cs="Arial" w:eastAsia="Arial" w:hAnsi="Arial"/>
          <w:sz w:val="22"/>
          <w:szCs w:val="22"/>
        </w:rPr>
        <w:t xml:space="preserve">.</w:t>
      </w:r>
    </w:p>
    <w:p>
      <w:pPr>
        <w:spacing w:after="100" w:before="160"/>
      </w:pPr>
      <w:r>
        <w:rPr>
          <w:rFonts w:ascii="Arial" w:cs="Arial" w:eastAsia="Arial" w:hAnsi="Arial"/>
          <w:b/>
          <w:bCs/>
          <w:sz w:val="22"/>
          <w:szCs w:val="22"/>
          <w:u w:val="single"/>
        </w:rPr>
        <w:t xml:space="preserve">Tier 2 — Digital Shadow (DS)</w:t>
      </w:r>
    </w:p>
    <w:p>
      <w:pPr>
        <w:spacing w:after="160" w:line="276"/>
        <w:jc w:val="both"/>
      </w:pPr>
      <w:r>
        <w:rPr>
          <w:rFonts w:ascii="Arial" w:cs="Arial" w:eastAsia="Arial" w:hAnsi="Arial"/>
          <w:sz w:val="22"/>
          <w:szCs w:val="22"/>
        </w:rPr>
        <w:t xml:space="preserve">A </w:t>
      </w:r>
      <w:r>
        <w:rPr>
          <w:rFonts w:ascii="Arial" w:cs="Arial" w:eastAsia="Arial" w:hAnsi="Arial"/>
          <w:b/>
          <w:bCs/>
          <w:sz w:val="22"/>
          <w:szCs w:val="22"/>
        </w:rPr>
        <w:t xml:space="preserve">digital shadow</w:t>
      </w:r>
      <w:r>
        <w:rPr>
          <w:rFonts w:ascii="Arial" w:cs="Arial" w:eastAsia="Arial" w:hAnsi="Arial"/>
          <w:sz w:val="22"/>
          <w:szCs w:val="22"/>
        </w:rPr>
        <w:t xml:space="preserve"> introduces </w:t>
      </w:r>
      <w:r>
        <w:rPr>
          <w:rFonts w:ascii="Arial" w:cs="Arial" w:eastAsia="Arial" w:hAnsi="Arial"/>
          <w:b/>
          <w:bCs/>
          <w:sz w:val="22"/>
          <w:szCs w:val="22"/>
        </w:rPr>
        <w:t xml:space="preserve">automated, unidirectional data flow from the physical entity to the virtual model</w:t>
      </w:r>
      <w:r>
        <w:rPr>
          <w:rFonts w:ascii="Arial" w:cs="Arial" w:eastAsia="Arial" w:hAnsi="Arial"/>
          <w:sz w:val="22"/>
          <w:szCs w:val="22"/>
        </w:rPr>
        <w:t xml:space="preserve">. The virtual representation is continuously updated by sensor data, providing a real-time </w:t>
      </w:r>
      <w:r>
        <w:rPr>
          <w:rFonts w:ascii="Arial" w:cs="Arial" w:eastAsia="Arial" w:hAnsi="Arial"/>
          <w:i/>
          <w:iCs/>
          <w:sz w:val="22"/>
          <w:szCs w:val="22"/>
        </w:rPr>
        <w:t xml:space="preserve">read-only</w:t>
      </w:r>
      <w:r>
        <w:rPr>
          <w:rFonts w:ascii="Arial" w:cs="Arial" w:eastAsia="Arial" w:hAnsi="Arial"/>
          <w:sz w:val="22"/>
          <w:szCs w:val="22"/>
        </w:rPr>
        <w:t xml:space="preserve"> view of the physical asset's state. However, no automated feedback from the virtual model to the physical system occurs </w:t>
      </w:r>
      <w:r>
        <w:rPr>
          <w:rFonts w:ascii="Arial" w:cs="Arial" w:eastAsia="Arial" w:hAnsi="Arial"/>
          <w:b/>
          <w:bCs/>
          <w:sz w:val="22"/>
          <w:szCs w:val="22"/>
        </w:rPr>
        <w:t xml:space="preserve">[40]</w:t>
      </w:r>
      <w:r>
        <w:rPr>
          <w:rFonts w:ascii="Arial" w:cs="Arial" w:eastAsia="Arial" w:hAnsi="Arial"/>
          <w:sz w:val="22"/>
          <w:szCs w:val="22"/>
        </w:rPr>
        <w:t xml:space="preserve">. An example in FDM monitoring would be a live temperature dashboard that shows the printer's nozzle temperature in real time, but which does not trigger any automatic action. Kritzinger et al.'s review found that </w:t>
      </w:r>
      <w:r>
        <w:rPr>
          <w:rFonts w:ascii="Arial" w:cs="Arial" w:eastAsia="Arial" w:hAnsi="Arial"/>
          <w:b/>
          <w:bCs/>
          <w:sz w:val="22"/>
          <w:szCs w:val="22"/>
        </w:rPr>
        <w:t xml:space="preserve">the majority of publications claiming to implement a "digital twin" in fact implement a digital shadow</w:t>
      </w:r>
      <w:r>
        <w:rPr>
          <w:rFonts w:ascii="Arial" w:cs="Arial" w:eastAsia="Arial" w:hAnsi="Arial"/>
          <w:sz w:val="22"/>
          <w:szCs w:val="22"/>
        </w:rPr>
        <w:t xml:space="preserve"> — a finding that highlights the importance of precise terminology [40].</w:t>
      </w:r>
    </w:p>
    <w:p>
      <w:pPr>
        <w:spacing w:after="100" w:before="160"/>
      </w:pPr>
      <w:r>
        <w:rPr>
          <w:rFonts w:ascii="Arial" w:cs="Arial" w:eastAsia="Arial" w:hAnsi="Arial"/>
          <w:b/>
          <w:bCs/>
          <w:sz w:val="22"/>
          <w:szCs w:val="22"/>
          <w:u w:val="single"/>
        </w:rPr>
        <w:t xml:space="preserve">Tier 3 — Digital Twin (True DT)</w:t>
      </w:r>
    </w:p>
    <w:p>
      <w:pPr>
        <w:spacing w:after="160" w:line="276"/>
        <w:jc w:val="both"/>
      </w:pPr>
      <w:r>
        <w:rPr>
          <w:rFonts w:ascii="Arial" w:cs="Arial" w:eastAsia="Arial" w:hAnsi="Arial"/>
          <w:sz w:val="22"/>
          <w:szCs w:val="22"/>
        </w:rPr>
        <w:t xml:space="preserve">A </w:t>
      </w:r>
      <w:r>
        <w:rPr>
          <w:rFonts w:ascii="Arial" w:cs="Arial" w:eastAsia="Arial" w:hAnsi="Arial"/>
          <w:b/>
          <w:bCs/>
          <w:sz w:val="22"/>
          <w:szCs w:val="22"/>
        </w:rPr>
        <w:t xml:space="preserve">true digital twin</w:t>
      </w:r>
      <w:r>
        <w:rPr>
          <w:rFonts w:ascii="Arial" w:cs="Arial" w:eastAsia="Arial" w:hAnsi="Arial"/>
          <w:sz w:val="22"/>
          <w:szCs w:val="22"/>
        </w:rPr>
        <w:t xml:space="preserve"> requires </w:t>
      </w:r>
      <w:r>
        <w:rPr>
          <w:rFonts w:ascii="Arial" w:cs="Arial" w:eastAsia="Arial" w:hAnsi="Arial"/>
          <w:b/>
          <w:bCs/>
          <w:sz w:val="22"/>
          <w:szCs w:val="22"/>
        </w:rPr>
        <w:t xml:space="preserve">automated, bidirectional data exchange between physical and virtual entities</w:t>
      </w:r>
      <w:r>
        <w:rPr>
          <w:rFonts w:ascii="Arial" w:cs="Arial" w:eastAsia="Arial" w:hAnsi="Arial"/>
          <w:sz w:val="22"/>
          <w:szCs w:val="22"/>
        </w:rPr>
        <w:t xml:space="preserve">. The virtual model is continuously updated from the physical system (as in a digital shadow), </w:t>
      </w:r>
      <w:r>
        <w:rPr>
          <w:rFonts w:ascii="Arial" w:cs="Arial" w:eastAsia="Arial" w:hAnsi="Arial"/>
          <w:b/>
          <w:bCs/>
          <w:i/>
          <w:iCs/>
          <w:sz w:val="22"/>
          <w:szCs w:val="22"/>
        </w:rPr>
        <w:t xml:space="preserve">and</w:t>
      </w:r>
      <w:r>
        <w:rPr>
          <w:rFonts w:ascii="Arial" w:cs="Arial" w:eastAsia="Arial" w:hAnsi="Arial"/>
          <w:sz w:val="22"/>
          <w:szCs w:val="22"/>
        </w:rPr>
        <w:t xml:space="preserve"> the virtual model can generate outputs — alerts, control commands, or parameter adjustments — that are automatically applied back to the physical system </w:t>
      </w:r>
      <w:r>
        <w:rPr>
          <w:rFonts w:ascii="Arial" w:cs="Arial" w:eastAsia="Arial" w:hAnsi="Arial"/>
          <w:b/>
          <w:bCs/>
          <w:sz w:val="22"/>
          <w:szCs w:val="22"/>
        </w:rPr>
        <w:t xml:space="preserve">[40][41]</w:t>
      </w:r>
      <w:r>
        <w:rPr>
          <w:rFonts w:ascii="Arial" w:cs="Arial" w:eastAsia="Arial" w:hAnsi="Arial"/>
          <w:sz w:val="22"/>
          <w:szCs w:val="22"/>
        </w:rPr>
        <w:t xml:space="preserve">. In the FDM context, this means: sensors continuously stream data to the virtual model, the model detects an anomaly (e.g., vibration RMS exceeding 3σ baseline), and the system automatically issues an alert or pause command — without requiring human observation of the dashboard. This is the level of integration implemented in the present thesis.</w:t>
      </w:r>
    </w:p>
    <w:p>
      <w:pPr>
        <w:spacing w:after="120"/>
      </w:pPr>
    </w:p>
    <w:p>
      <w:pPr>
        <w:spacing w:after="160" w:line="276"/>
        <w:jc w:val="both"/>
      </w:pPr>
      <w:r>
        <w:rPr>
          <w:rFonts w:ascii="Arial" w:cs="Arial" w:eastAsia="Arial" w:hAnsi="Arial"/>
          <w:sz w:val="22"/>
          <w:szCs w:val="22"/>
        </w:rPr>
        <w:t xml:space="preserve">Table 1.4 presents a structured comparison of the three tiers, with explicit mapping to the implementation of the present thesis. All data flows, sensor interfaces, and alert mechanisms described correspond to the system architecture detailed in Chapter 3 </w:t>
      </w:r>
      <w:r>
        <w:rPr>
          <w:rFonts w:ascii="Arial" w:cs="Arial" w:eastAsia="Arial" w:hAnsi="Arial"/>
          <w:b/>
          <w:bCs/>
          <w:sz w:val="22"/>
          <w:szCs w:val="22"/>
        </w:rPr>
        <w:t xml:space="preserve">[40][15][39]</w:t>
      </w:r>
      <w:r>
        <w:rPr>
          <w:rFonts w:ascii="Arial" w:cs="Arial" w:eastAsia="Arial" w:hAnsi="Arial"/>
          <w:sz w:val="22"/>
          <w:szCs w:val="22"/>
        </w:rPr>
        <w:t xml:space="preserve">.</w:t>
      </w:r>
    </w:p>
    <w:p>
      <w:pPr>
        <w:spacing w:after="120"/>
      </w:pPr>
    </w:p>
    <w:p>
      <w:pPr>
        <w:spacing w:after="80"/>
        <w:jc w:val="center"/>
      </w:pPr>
      <w:r>
        <w:rPr>
          <w:rFonts w:ascii="Arial" w:cs="Arial" w:eastAsia="Arial" w:hAnsi="Arial"/>
          <w:i/>
          <w:iCs/>
          <w:sz w:val="20"/>
          <w:szCs w:val="20"/>
        </w:rPr>
        <w:t xml:space="preserve">Table 1.4 – Distinction between Digital Model, Digital Shadow, and Digital Twin (adapted from Kritzinger et al. [40])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600"/>
        <w:gridCol w:w="1600"/>
        <w:gridCol w:w="1700"/>
      </w:tblGrid>
      <w:t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Criterion</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Digital Model (DM)</w:t>
            </w:r>
          </w:p>
        </w:tc>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Digital Shadow (DS)</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Digital Twin (DT)</w:t>
            </w:r>
          </w:p>
        </w:tc>
        <w:tc>
          <w:tcPr>
            <w:tcW w:type="dxa" w:w="1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This thesis</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bCs/>
                <w:sz w:val="19"/>
                <w:szCs w:val="19"/>
              </w:rPr>
              <w:t xml:space="preserve">Data flow (physical → virtual)</w:t>
            </w:r>
          </w:p>
        </w:tc>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Manual / none</w:t>
            </w:r>
          </w:p>
        </w:tc>
        <w:tc>
          <w:tcPr>
            <w:tcW w:type="dxa" w:w="2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Automated, one-way</w:t>
            </w:r>
          </w:p>
        </w:tc>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Automated, bidirectional</w:t>
            </w:r>
          </w:p>
        </w:tc>
        <w:tc>
          <w:tcPr>
            <w:tcW w:type="dxa" w:w="17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Automated (MQTT, 10 Hz)</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Data flow (virtual → physical)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None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None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Automated, bidirectional</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Alert-driven commands</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bCs/>
                <w:sz w:val="19"/>
                <w:szCs w:val="19"/>
              </w:rPr>
              <w:t xml:space="preserve">Real-time synchronisation</w:t>
            </w:r>
          </w:p>
        </w:tc>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No</w:t>
            </w:r>
          </w:p>
        </w:tc>
        <w:tc>
          <w:tcPr>
            <w:tcW w:type="dxa" w:w="2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Partial (read-only)</w:t>
            </w:r>
          </w:p>
        </w:tc>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Full, continuous</w:t>
            </w:r>
          </w:p>
        </w:tc>
        <w:tc>
          <w:tcPr>
            <w:tcW w:type="dxa" w:w="17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Yes — 10 Hz update loop</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Failure prediction capability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None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Limited (observation only)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Yes (prognostics)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Yes — trend + threshold-based</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bCs/>
                <w:sz w:val="19"/>
                <w:szCs w:val="19"/>
              </w:rPr>
              <w:t xml:space="preserve">Level of integration (Kritzinger)</w:t>
            </w:r>
          </w:p>
        </w:tc>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Level 1</w:t>
            </w:r>
          </w:p>
        </w:tc>
        <w:tc>
          <w:tcPr>
            <w:tcW w:type="dxa" w:w="2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Level 2</w:t>
            </w:r>
          </w:p>
        </w:tc>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Level 3 (true DT)</w:t>
            </w:r>
          </w:p>
        </w:tc>
        <w:tc>
          <w:tcPr>
            <w:tcW w:type="dxa" w:w="17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Level 3</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9"/>
                <w:szCs w:val="19"/>
              </w:rPr>
              <w:t xml:space="preserve">Example in FDM context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CAD model of printer (static)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Dashboard showing live temp. (no feedback)</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System that detects clog and recommends stop</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GY-521 + KY-013 + dashboard + alert engine</w:t>
            </w:r>
          </w:p>
        </w:tc>
      </w:tr>
    </w:tbl>
    <w:p>
      <w:pPr>
        <w:spacing w:after="120"/>
      </w:pPr>
    </w:p>
    <w:p>
      <w:pPr>
        <w:spacing w:after="120"/>
      </w:pPr>
    </w:p>
    <w:p>
      <w:pPr>
        <w:spacing w:after="160" w:line="276"/>
        <w:jc w:val="both"/>
      </w:pPr>
      <w:r>
        <w:rPr>
          <w:rFonts w:ascii="Arial" w:cs="Arial" w:eastAsia="Arial" w:hAnsi="Arial"/>
          <w:sz w:val="22"/>
          <w:szCs w:val="22"/>
        </w:rPr>
        <w:t xml:space="preserve">The classification in Table 1.4 confirms that the system developed in this thesis qualifies as a </w:t>
      </w:r>
      <w:r>
        <w:rPr>
          <w:rFonts w:ascii="Arial" w:cs="Arial" w:eastAsia="Arial" w:hAnsi="Arial"/>
          <w:b/>
          <w:bCs/>
          <w:sz w:val="22"/>
          <w:szCs w:val="22"/>
        </w:rPr>
        <w:t xml:space="preserve">Level 3 true Digital Twin</w:t>
      </w:r>
      <w:r>
        <w:rPr>
          <w:rFonts w:ascii="Arial" w:cs="Arial" w:eastAsia="Arial" w:hAnsi="Arial"/>
          <w:sz w:val="22"/>
          <w:szCs w:val="22"/>
        </w:rPr>
        <w:t xml:space="preserve">: it implements automated bidirectional data flow, real-time synchronisation at 10 Hz, and an alert engine that translates virtual model outputs into actionable maintenance recommendations. This is the highest tier of DT integration and the most demanding to implement — particularly with low-cost, open-source hardware — which constitutes a key contribution of this work.</w:t>
      </w:r>
    </w:p>
    <w:p>
      <w:pPr>
        <w:pStyle w:val="Heading3"/>
        <w:spacing w:after="140" w:before="240"/>
      </w:pPr>
      <w:r>
        <w:rPr>
          <w:rFonts w:ascii="Arial" w:cs="Arial" w:eastAsia="Arial" w:hAnsi="Arial"/>
          <w:b/>
          <w:bCs/>
          <w:sz w:val="24"/>
          <w:szCs w:val="24"/>
        </w:rPr>
        <w:t xml:space="preserve">1.5.4  Industrial Applications</w:t>
      </w:r>
    </w:p>
    <w:p>
      <w:pPr>
        <w:spacing w:after="160" w:line="276"/>
        <w:jc w:val="both"/>
      </w:pPr>
      <w:r>
        <w:rPr>
          <w:rFonts w:ascii="Arial" w:cs="Arial" w:eastAsia="Arial" w:hAnsi="Arial"/>
          <w:sz w:val="22"/>
          <w:szCs w:val="22"/>
        </w:rPr>
        <w:t xml:space="preserve">Digital twin technology has been adopted across a wide spectrum of industries, each exploiting the core DT capability — real-time virtual mirroring of a physical asset — for domain-specific objectives. The following sub-sections survey the principal application domains identified in the systematic review literature </w:t>
      </w:r>
      <w:r>
        <w:rPr>
          <w:rFonts w:ascii="Arial" w:cs="Arial" w:eastAsia="Arial" w:hAnsi="Arial"/>
          <w:b/>
          <w:bCs/>
          <w:sz w:val="22"/>
          <w:szCs w:val="22"/>
        </w:rPr>
        <w:t xml:space="preserve">[44][45]</w:t>
      </w:r>
      <w:r>
        <w:rPr>
          <w:rFonts w:ascii="Arial" w:cs="Arial" w:eastAsia="Arial" w:hAnsi="Arial"/>
          <w:sz w:val="22"/>
          <w:szCs w:val="22"/>
        </w:rPr>
        <w:t xml:space="preserve">, with particular focus on manufacturing and additive manufacturing as the context of the present work.</w:t>
      </w:r>
    </w:p>
    <w:p>
      <w:pPr>
        <w:spacing w:after="100" w:before="160"/>
      </w:pPr>
      <w:r>
        <w:rPr>
          <w:rFonts w:ascii="Arial" w:cs="Arial" w:eastAsia="Arial" w:hAnsi="Arial"/>
          <w:b/>
          <w:bCs/>
          <w:sz w:val="22"/>
          <w:szCs w:val="22"/>
          <w:u w:val="single"/>
        </w:rPr>
        <w:t xml:space="preserve">a)  Aerospace and Defence</w:t>
      </w:r>
    </w:p>
    <w:p>
      <w:pPr>
        <w:spacing w:after="160" w:line="276"/>
        <w:jc w:val="both"/>
      </w:pPr>
      <w:r>
        <w:rPr>
          <w:rFonts w:ascii="Arial" w:cs="Arial" w:eastAsia="Arial" w:hAnsi="Arial"/>
          <w:sz w:val="22"/>
          <w:szCs w:val="22"/>
        </w:rPr>
        <w:t xml:space="preserve">Aerospace was the </w:t>
      </w:r>
      <w:r>
        <w:rPr>
          <w:rFonts w:ascii="Arial" w:cs="Arial" w:eastAsia="Arial" w:hAnsi="Arial"/>
          <w:b/>
          <w:bCs/>
          <w:sz w:val="22"/>
          <w:szCs w:val="22"/>
        </w:rPr>
        <w:t xml:space="preserve">birthplace of the digital twin concept</w:t>
      </w:r>
      <w:r>
        <w:rPr>
          <w:rFonts w:ascii="Arial" w:cs="Arial" w:eastAsia="Arial" w:hAnsi="Arial"/>
          <w:sz w:val="22"/>
          <w:szCs w:val="22"/>
        </w:rPr>
        <w:t xml:space="preserve"> (NASA Apollo programme) and remains one of its most mature application domains. DTs are used for structural health monitoring of aircraft fuselages and engines, simulation-based certification of new designs, and fleet management to optimise maintenance scheduling across hundreds of aircraft </w:t>
      </w:r>
      <w:r>
        <w:rPr>
          <w:rFonts w:ascii="Arial" w:cs="Arial" w:eastAsia="Arial" w:hAnsi="Arial"/>
          <w:b/>
          <w:bCs/>
          <w:sz w:val="22"/>
          <w:szCs w:val="22"/>
        </w:rPr>
        <w:t xml:space="preserve">[45]</w:t>
      </w:r>
      <w:r>
        <w:rPr>
          <w:rFonts w:ascii="Arial" w:cs="Arial" w:eastAsia="Arial" w:hAnsi="Arial"/>
          <w:sz w:val="22"/>
          <w:szCs w:val="22"/>
        </w:rPr>
        <w:t xml:space="preserve">. Glaessgen and Stargel's 2012 NASA/USAF framework [42] envisioned the DT as the primary means of certifying future vehicles without physical prototypes, dramatically reducing development cost. Airbus and Boeing both report operational DT deployments for predictive maintenance of commercial aircraft engines, reducing unscheduled maintenance events by up to 25% [45].</w:t>
      </w:r>
    </w:p>
    <w:p>
      <w:pPr>
        <w:spacing w:after="100" w:before="160"/>
      </w:pPr>
      <w:r>
        <w:rPr>
          <w:rFonts w:ascii="Arial" w:cs="Arial" w:eastAsia="Arial" w:hAnsi="Arial"/>
          <w:b/>
          <w:bCs/>
          <w:sz w:val="22"/>
          <w:szCs w:val="22"/>
          <w:u w:val="single"/>
        </w:rPr>
        <w:t xml:space="preserve">b)  Smart Manufacturing</w:t>
      </w:r>
    </w:p>
    <w:p>
      <w:pPr>
        <w:spacing w:after="160" w:line="276"/>
        <w:jc w:val="both"/>
      </w:pPr>
      <w:r>
        <w:rPr>
          <w:rFonts w:ascii="Arial" w:cs="Arial" w:eastAsia="Arial" w:hAnsi="Arial"/>
          <w:sz w:val="22"/>
          <w:szCs w:val="22"/>
        </w:rPr>
        <w:t xml:space="preserve">Manufacturing is the </w:t>
      </w:r>
      <w:r>
        <w:rPr>
          <w:rFonts w:ascii="Arial" w:cs="Arial" w:eastAsia="Arial" w:hAnsi="Arial"/>
          <w:b/>
          <w:bCs/>
          <w:sz w:val="22"/>
          <w:szCs w:val="22"/>
        </w:rPr>
        <w:t xml:space="preserve">dominant application domain</w:t>
      </w:r>
      <w:r>
        <w:rPr>
          <w:rFonts w:ascii="Arial" w:cs="Arial" w:eastAsia="Arial" w:hAnsi="Arial"/>
          <w:sz w:val="22"/>
          <w:szCs w:val="22"/>
        </w:rPr>
        <w:t xml:space="preserve"> for DTs in the current literature, accounting for the largest share of published research </w:t>
      </w:r>
      <w:r>
        <w:rPr>
          <w:rFonts w:ascii="Arial" w:cs="Arial" w:eastAsia="Arial" w:hAnsi="Arial"/>
          <w:b/>
          <w:bCs/>
          <w:sz w:val="22"/>
          <w:szCs w:val="22"/>
        </w:rPr>
        <w:t xml:space="preserve">[44]</w:t>
      </w:r>
      <w:r>
        <w:rPr>
          <w:rFonts w:ascii="Arial" w:cs="Arial" w:eastAsia="Arial" w:hAnsi="Arial"/>
          <w:sz w:val="22"/>
          <w:szCs w:val="22"/>
        </w:rPr>
        <w:t xml:space="preserve">. Applications include production line optimisation (simulating scheduling changes before physical implementation), machine tool health monitoring (detecting spindle wear from vibration signatures), quality control (in-situ defect detection in welding and casting), and energy efficiency management (identifying idle-consumption waste). Tao et al. [15] provide a comprehensive taxonomy of DT applications across 14 manufacturing sub-domains, from product design to end-of-life recycling.</w:t>
      </w:r>
    </w:p>
    <w:p>
      <w:pPr>
        <w:spacing w:after="160" w:line="276"/>
        <w:jc w:val="both"/>
      </w:pPr>
      <w:r>
        <w:rPr>
          <w:rFonts w:ascii="Arial" w:cs="Arial" w:eastAsia="Arial" w:hAnsi="Arial"/>
          <w:sz w:val="22"/>
          <w:szCs w:val="22"/>
        </w:rPr>
        <w:t xml:space="preserve">In the specific context of </w:t>
      </w:r>
      <w:r>
        <w:rPr>
          <w:rFonts w:ascii="Arial" w:cs="Arial" w:eastAsia="Arial" w:hAnsi="Arial"/>
          <w:b/>
          <w:bCs/>
          <w:sz w:val="22"/>
          <w:szCs w:val="22"/>
        </w:rPr>
        <w:t xml:space="preserve">additive manufacturing</w:t>
      </w:r>
      <w:r>
        <w:rPr>
          <w:rFonts w:ascii="Arial" w:cs="Arial" w:eastAsia="Arial" w:hAnsi="Arial"/>
          <w:sz w:val="22"/>
          <w:szCs w:val="22"/>
        </w:rPr>
        <w:t xml:space="preserve">, DTs have been applied for printability analysis (simulating thermal gradients before printing), in-situ process monitoring (detecting defects from melt pool images and sensor streams), and post-build quality certification. Liu et al. [16] review 78 papers on DT-enabled AM and conclude that the field is transitioning from offline simulation toward </w:t>
      </w:r>
      <w:r>
        <w:rPr>
          <w:rFonts w:ascii="Arial" w:cs="Arial" w:eastAsia="Arial" w:hAnsi="Arial"/>
          <w:b/>
          <w:bCs/>
          <w:sz w:val="22"/>
          <w:szCs w:val="22"/>
        </w:rPr>
        <w:t xml:space="preserve">real-time, closed-loop control</w:t>
      </w:r>
      <w:r>
        <w:rPr>
          <w:rFonts w:ascii="Arial" w:cs="Arial" w:eastAsia="Arial" w:hAnsi="Arial"/>
          <w:sz w:val="22"/>
          <w:szCs w:val="22"/>
        </w:rPr>
        <w:t xml:space="preserve"> — the direction directly pursued in this thesis for FDM desktop printers </w:t>
      </w:r>
      <w:r>
        <w:rPr>
          <w:rFonts w:ascii="Arial" w:cs="Arial" w:eastAsia="Arial" w:hAnsi="Arial"/>
          <w:b/>
          <w:bCs/>
          <w:sz w:val="22"/>
          <w:szCs w:val="22"/>
        </w:rPr>
        <w:t xml:space="preserve">[16][17]</w:t>
      </w:r>
      <w:r>
        <w:rPr>
          <w:rFonts w:ascii="Arial" w:cs="Arial" w:eastAsia="Arial" w:hAnsi="Arial"/>
          <w:sz w:val="22"/>
          <w:szCs w:val="22"/>
        </w:rPr>
        <w:t xml:space="preserve">.</w:t>
      </w:r>
    </w:p>
    <w:p>
      <w:pPr>
        <w:spacing w:after="100" w:before="160"/>
      </w:pPr>
      <w:r>
        <w:rPr>
          <w:rFonts w:ascii="Arial" w:cs="Arial" w:eastAsia="Arial" w:hAnsi="Arial"/>
          <w:b/>
          <w:bCs/>
          <w:sz w:val="22"/>
          <w:szCs w:val="22"/>
          <w:u w:val="single"/>
        </w:rPr>
        <w:t xml:space="preserve">c)  Healthcare and Precision Medicine</w:t>
      </w:r>
    </w:p>
    <w:p>
      <w:pPr>
        <w:spacing w:after="160" w:line="276"/>
        <w:jc w:val="both"/>
      </w:pPr>
      <w:r>
        <w:rPr>
          <w:rFonts w:ascii="Arial" w:cs="Arial" w:eastAsia="Arial" w:hAnsi="Arial"/>
          <w:sz w:val="22"/>
          <w:szCs w:val="22"/>
        </w:rPr>
        <w:t xml:space="preserve">The application of DTs to healthcare, while more recent, is advancing rapidly. DTs of patients (</w:t>
      </w:r>
      <w:r>
        <w:rPr>
          <w:rFonts w:ascii="Arial" w:cs="Arial" w:eastAsia="Arial" w:hAnsi="Arial"/>
          <w:i/>
          <w:iCs/>
          <w:sz w:val="22"/>
          <w:szCs w:val="22"/>
        </w:rPr>
        <w:t xml:space="preserve">"digital humans"</w:t>
      </w:r>
      <w:r>
        <w:rPr>
          <w:rFonts w:ascii="Arial" w:cs="Arial" w:eastAsia="Arial" w:hAnsi="Arial"/>
          <w:sz w:val="22"/>
          <w:szCs w:val="22"/>
        </w:rPr>
        <w:t xml:space="preserve">) are used for personalised drug dosage optimisation, surgical planning, and clinical trial simulation </w:t>
      </w:r>
      <w:r>
        <w:rPr>
          <w:rFonts w:ascii="Arial" w:cs="Arial" w:eastAsia="Arial" w:hAnsi="Arial"/>
          <w:b/>
          <w:bCs/>
          <w:sz w:val="22"/>
          <w:szCs w:val="22"/>
        </w:rPr>
        <w:t xml:space="preserve">[45]</w:t>
      </w:r>
      <w:r>
        <w:rPr>
          <w:rFonts w:ascii="Arial" w:cs="Arial" w:eastAsia="Arial" w:hAnsi="Arial"/>
          <w:sz w:val="22"/>
          <w:szCs w:val="22"/>
        </w:rPr>
        <w:t xml:space="preserve">. Hospital-level DTs model patient flow, bed occupancy, and staff allocation to optimise resource utilisation. The convergence of medical imaging, wearable sensors, and AI makes the healthcare DT one of the most technically challenging — and potentially highest-impact — frontiers of the field [44].</w:t>
      </w:r>
    </w:p>
    <w:p>
      <w:pPr>
        <w:spacing w:after="100" w:before="160"/>
      </w:pPr>
      <w:r>
        <w:rPr>
          <w:rFonts w:ascii="Arial" w:cs="Arial" w:eastAsia="Arial" w:hAnsi="Arial"/>
          <w:b/>
          <w:bCs/>
          <w:sz w:val="22"/>
          <w:szCs w:val="22"/>
          <w:u w:val="single"/>
        </w:rPr>
        <w:t xml:space="preserve">d)  Smart Cities and Infrastructure</w:t>
      </w:r>
    </w:p>
    <w:p>
      <w:pPr>
        <w:spacing w:after="160" w:line="276"/>
        <w:jc w:val="both"/>
      </w:pPr>
      <w:r>
        <w:rPr>
          <w:rFonts w:ascii="Arial" w:cs="Arial" w:eastAsia="Arial" w:hAnsi="Arial"/>
          <w:sz w:val="22"/>
          <w:szCs w:val="22"/>
        </w:rPr>
        <w:t xml:space="preserve">At the urban scale, DTs of cities, bridges, water distribution networks, and power grids enable continuous structural health monitoring, scenario testing for disaster response, and real-time traffic management </w:t>
      </w:r>
      <w:r>
        <w:rPr>
          <w:rFonts w:ascii="Arial" w:cs="Arial" w:eastAsia="Arial" w:hAnsi="Arial"/>
          <w:b/>
          <w:bCs/>
          <w:sz w:val="22"/>
          <w:szCs w:val="22"/>
        </w:rPr>
        <w:t xml:space="preserve">[44]</w:t>
      </w:r>
      <w:r>
        <w:rPr>
          <w:rFonts w:ascii="Arial" w:cs="Arial" w:eastAsia="Arial" w:hAnsi="Arial"/>
          <w:sz w:val="22"/>
          <w:szCs w:val="22"/>
        </w:rPr>
        <w:t xml:space="preserve">. Singapore's Virtual Singapore project is one of the most cited examples: a city-scale DT used for urban planning, energy modelling, and emergency simulation. Infrastructure DTs typically integrate geographic information systems (GIS), IoT sensor networks, and building information modelling (BIM) into a unified virtual representation of the built environment [45].</w:t>
      </w:r>
    </w:p>
    <w:p>
      <w:pPr>
        <w:spacing w:after="100" w:before="160"/>
      </w:pPr>
      <w:r>
        <w:rPr>
          <w:rFonts w:ascii="Arial" w:cs="Arial" w:eastAsia="Arial" w:hAnsi="Arial"/>
          <w:b/>
          <w:bCs/>
          <w:sz w:val="22"/>
          <w:szCs w:val="22"/>
          <w:u w:val="single"/>
        </w:rPr>
        <w:t xml:space="preserve">e)  Energy and Process Industries</w:t>
      </w:r>
    </w:p>
    <w:p>
      <w:pPr>
        <w:spacing w:after="160" w:line="276"/>
        <w:jc w:val="both"/>
      </w:pPr>
      <w:r>
        <w:rPr>
          <w:rFonts w:ascii="Arial" w:cs="Arial" w:eastAsia="Arial" w:hAnsi="Arial"/>
          <w:sz w:val="22"/>
          <w:szCs w:val="22"/>
        </w:rPr>
        <w:t xml:space="preserve">Oil and gas, wind energy, and nuclear power represent high-value environments where DTs of turbines, pipelines, and reactors enable continuous condition monitoring, lifetime extension, and accident prevention </w:t>
      </w:r>
      <w:r>
        <w:rPr>
          <w:rFonts w:ascii="Arial" w:cs="Arial" w:eastAsia="Arial" w:hAnsi="Arial"/>
          <w:b/>
          <w:bCs/>
          <w:sz w:val="22"/>
          <w:szCs w:val="22"/>
        </w:rPr>
        <w:t xml:space="preserve">[45]</w:t>
      </w:r>
      <w:r>
        <w:rPr>
          <w:rFonts w:ascii="Arial" w:cs="Arial" w:eastAsia="Arial" w:hAnsi="Arial"/>
          <w:sz w:val="22"/>
          <w:szCs w:val="22"/>
        </w:rPr>
        <w:t xml:space="preserve">. Siemens reports that DT-based predictive maintenance on wind turbines reduces operational costs by 20–30% and extends turbine lifespan by detecting blade erosion and bearing fatigue before critical failure [44]. The principles applied in this thesis — sensor-based condition monitoring, anomaly detection, and prognostic alerting — are directly transferable to these higher-stakes environments.</w:t>
      </w:r>
    </w:p>
    <w:p>
      <w:pPr>
        <w:spacing w:after="100" w:before="160"/>
      </w:pPr>
      <w:r>
        <w:rPr>
          <w:rFonts w:ascii="Arial" w:cs="Arial" w:eastAsia="Arial" w:hAnsi="Arial"/>
          <w:b/>
          <w:bCs/>
          <w:sz w:val="22"/>
          <w:szCs w:val="22"/>
          <w:u w:val="single"/>
        </w:rPr>
        <w:t xml:space="preserve">f)  Additive Manufacturing and FDM Printers — Positioning This Thesis</w:t>
      </w:r>
    </w:p>
    <w:p>
      <w:pPr>
        <w:spacing w:after="160" w:line="276"/>
        <w:jc w:val="both"/>
      </w:pPr>
      <w:r>
        <w:rPr>
          <w:rFonts w:ascii="Arial" w:cs="Arial" w:eastAsia="Arial" w:hAnsi="Arial"/>
          <w:sz w:val="22"/>
          <w:szCs w:val="22"/>
        </w:rPr>
        <w:t xml:space="preserve">Within the broader DT landscape, the application of digital twins to </w:t>
      </w:r>
      <w:r>
        <w:rPr>
          <w:rFonts w:ascii="Arial" w:cs="Arial" w:eastAsia="Arial" w:hAnsi="Arial"/>
          <w:b/>
          <w:bCs/>
          <w:sz w:val="22"/>
          <w:szCs w:val="22"/>
        </w:rPr>
        <w:t xml:space="preserve">desktop FDM 3D printers</w:t>
      </w:r>
      <w:r>
        <w:rPr>
          <w:rFonts w:ascii="Arial" w:cs="Arial" w:eastAsia="Arial" w:hAnsi="Arial"/>
          <w:sz w:val="22"/>
          <w:szCs w:val="22"/>
        </w:rPr>
        <w:t xml:space="preserve"> represents a nascent but strategically important sub-domain. Existing work has focused primarily on high-end industrial AM systems (metal powder bed fusion, directed energy deposition), where per-build costs justify expensive monitoring hardware </w:t>
      </w:r>
      <w:r>
        <w:rPr>
          <w:rFonts w:ascii="Arial" w:cs="Arial" w:eastAsia="Arial" w:hAnsi="Arial"/>
          <w:b/>
          <w:bCs/>
          <w:sz w:val="22"/>
          <w:szCs w:val="22"/>
        </w:rPr>
        <w:t xml:space="preserve">[16][17]</w:t>
      </w:r>
      <w:r>
        <w:rPr>
          <w:rFonts w:ascii="Arial" w:cs="Arial" w:eastAsia="Arial" w:hAnsi="Arial"/>
          <w:sz w:val="22"/>
          <w:szCs w:val="22"/>
        </w:rPr>
        <w:t xml:space="preserve">. The present thesis addresses the </w:t>
      </w:r>
      <w:r>
        <w:rPr>
          <w:rFonts w:ascii="Arial" w:cs="Arial" w:eastAsia="Arial" w:hAnsi="Arial"/>
          <w:b/>
          <w:bCs/>
          <w:sz w:val="22"/>
          <w:szCs w:val="22"/>
        </w:rPr>
        <w:t xml:space="preserve">gap at the accessible end of the spectrum</w:t>
      </w:r>
      <w:r>
        <w:rPr>
          <w:rFonts w:ascii="Arial" w:cs="Arial" w:eastAsia="Arial" w:hAnsi="Arial"/>
          <w:sz w:val="22"/>
          <w:szCs w:val="22"/>
        </w:rPr>
        <w:t xml:space="preserve">: implementing a functional, low-cost DT (total sensor cost &lt; €30) for a desktop FDM printer, demonstrating that the DT paradigm — real-time monitoring, anomaly detection, predictive alerting — is achievable outside high-budget industrial settings. This democratisation of DT technology for SMEs, makerspaces, and educational institutions is a primary contribution of this work </w:t>
      </w:r>
      <w:r>
        <w:rPr>
          <w:rFonts w:ascii="Arial" w:cs="Arial" w:eastAsia="Arial" w:hAnsi="Arial"/>
          <w:b/>
          <w:bCs/>
          <w:sz w:val="22"/>
          <w:szCs w:val="22"/>
        </w:rPr>
        <w:t xml:space="preserve">[20]</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Section 1.6 will now provide a comparative study of existing works in the field of digital twins for additive manufacturing, establishing the specific gaps that this thesis addresses.</w:t>
      </w:r>
    </w:p>
    <w:p>
      <w:pPr>
        <w:pBdr>
          <w:bottom w:val="single" w:color="AAAAAA" w:sz="4" w:space="1"/>
        </w:pBdr>
        <w:spacing w:after="160" w:before="160"/>
      </w:pPr>
    </w:p>
    <w:p>
      <w:pPr>
        <w:pStyle w:val="Heading2"/>
        <w:spacing w:after="180" w:before="320"/>
      </w:pPr>
      <w:r>
        <w:rPr>
          <w:rFonts w:ascii="Arial" w:cs="Arial" w:eastAsia="Arial" w:hAnsi="Arial"/>
          <w:b/>
          <w:bCs/>
          <w:sz w:val="28"/>
          <w:szCs w:val="28"/>
        </w:rPr>
        <w:t xml:space="preserve">References for Section 1.5 (New references — continue from [38])</w:t>
      </w:r>
    </w:p>
    <w:p>
      <w:pPr>
        <w:spacing w:after="120"/>
        <w:jc w:val="both"/>
      </w:pPr>
      <w:r>
        <w:rPr>
          <w:rFonts w:ascii="Arial" w:cs="Arial" w:eastAsia="Arial" w:hAnsi="Arial"/>
          <w:i/>
          <w:iCs/>
          <w:sz w:val="22"/>
          <w:szCs w:val="22"/>
        </w:rPr>
        <w:t xml:space="preserve">References [1]–[38] are as listed in previous sections. The following are new references introduced in Section 1.5:</w:t>
      </w:r>
    </w:p>
    <w:p>
      <w:pPr>
        <w:spacing w:after="120"/>
      </w:pPr>
    </w:p>
    <w:p>
      <w:pPr>
        <w:spacing w:after="120"/>
        <w:ind w:left="720" w:hanging="360"/>
      </w:pPr>
      <w:r>
        <w:rPr>
          <w:rFonts w:ascii="Arial" w:cs="Arial" w:eastAsia="Arial" w:hAnsi="Arial"/>
          <w:b/>
          <w:bCs/>
          <w:sz w:val="20"/>
          <w:szCs w:val="20"/>
        </w:rPr>
        <w:t xml:space="preserve">[39] </w:t>
      </w:r>
      <w:r>
        <w:rPr>
          <w:rFonts w:ascii="Arial" w:cs="Arial" w:eastAsia="Arial" w:hAnsi="Arial"/>
          <w:sz w:val="20"/>
          <w:szCs w:val="20"/>
        </w:rPr>
        <w:t xml:space="preserve">Rasheed, A., San, O., &amp; Kvamsdal, T. (2020). Digital twin: Values, challenges and enablers from a modeling perspective. IEEE Access, 8, 21980–22012. https://doi.org/10.1109/ACCESS.2019.2963918  [Journal Article — IEEE Access, Open Access; &gt;1,500 citations; comprehensive definition and classification of DT from a modelling perspective]</w:t>
      </w:r>
    </w:p>
    <w:p>
      <w:pPr>
        <w:spacing w:after="120"/>
        <w:ind w:left="720" w:hanging="360"/>
      </w:pPr>
      <w:r>
        <w:rPr>
          <w:rFonts w:ascii="Arial" w:cs="Arial" w:eastAsia="Arial" w:hAnsi="Arial"/>
          <w:b/>
          <w:bCs/>
          <w:sz w:val="20"/>
          <w:szCs w:val="20"/>
        </w:rPr>
        <w:t xml:space="preserve">[40] </w:t>
      </w:r>
      <w:r>
        <w:rPr>
          <w:rFonts w:ascii="Arial" w:cs="Arial" w:eastAsia="Arial" w:hAnsi="Arial"/>
          <w:sz w:val="20"/>
          <w:szCs w:val="20"/>
        </w:rPr>
        <w:t xml:space="preserve">Kritzinger, W., Karner, M., Traar, G., Henjes, J., &amp; Sihn, W. (2018). Digital Twin in manufacturing: A categorical literature review and classification. IFAC-PapersOnLine, 51(11), 1016–1022. https://doi.org/10.1016/j.ifacol.2018.08.474  [Conference Paper — IFAC/Elsevier, &gt;736 citations; establishes the Digital Model / Digital Shadow / Digital Twin taxonomy — key definitional reference]</w:t>
      </w:r>
    </w:p>
    <w:p>
      <w:pPr>
        <w:spacing w:after="120"/>
        <w:ind w:left="720" w:hanging="360"/>
      </w:pPr>
      <w:r>
        <w:rPr>
          <w:rFonts w:ascii="Arial" w:cs="Arial" w:eastAsia="Arial" w:hAnsi="Arial"/>
          <w:b/>
          <w:bCs/>
          <w:sz w:val="20"/>
          <w:szCs w:val="20"/>
        </w:rPr>
        <w:t xml:space="preserve">[41] </w:t>
      </w:r>
      <w:r>
        <w:rPr>
          <w:rFonts w:ascii="Arial" w:cs="Arial" w:eastAsia="Arial" w:hAnsi="Arial"/>
          <w:sz w:val="20"/>
          <w:szCs w:val="20"/>
        </w:rPr>
        <w:t xml:space="preserve">Grieves, M. (2014). Digital twin: Manufacturing excellence through virtual factory replication. White Paper. Available at: https://www.researchgate.net/publication/275211047  [White Paper — foundational DT definition by concept originator; widely cited as origin of three-component model]</w:t>
      </w:r>
    </w:p>
    <w:p>
      <w:pPr>
        <w:spacing w:after="120"/>
        <w:ind w:left="720" w:hanging="360"/>
      </w:pPr>
      <w:r>
        <w:rPr>
          <w:rFonts w:ascii="Arial" w:cs="Arial" w:eastAsia="Arial" w:hAnsi="Arial"/>
          <w:b/>
          <w:bCs/>
          <w:sz w:val="20"/>
          <w:szCs w:val="20"/>
        </w:rPr>
        <w:t xml:space="preserve">[42] </w:t>
      </w:r>
      <w:r>
        <w:rPr>
          <w:rFonts w:ascii="Arial" w:cs="Arial" w:eastAsia="Arial" w:hAnsi="Arial"/>
          <w:sz w:val="20"/>
          <w:szCs w:val="20"/>
        </w:rPr>
        <w:t xml:space="preserve">Glaessgen, E. H., &amp; Stargel, D. S. (2012). The digital twin paradigm for future NASA and U.S. Air Force vehicles. In Proceedings of the 53rd AIAA/ASME/ASCE/AHS/ASC Structures, Structural Dynamics and Materials Conference, Honolulu, HI. AIAA 2012-1818. https://doi.org/10.2514/6.2012-1818  [Conference Paper — AIAA; coined the term "Digital Twin" and established the NASA definition; &gt;1,200 citations]</w:t>
      </w:r>
    </w:p>
    <w:p>
      <w:pPr>
        <w:spacing w:after="120"/>
        <w:ind w:left="720" w:hanging="360"/>
      </w:pPr>
      <w:r>
        <w:rPr>
          <w:rFonts w:ascii="Arial" w:cs="Arial" w:eastAsia="Arial" w:hAnsi="Arial"/>
          <w:b/>
          <w:bCs/>
          <w:sz w:val="20"/>
          <w:szCs w:val="20"/>
        </w:rPr>
        <w:t xml:space="preserve">[43] </w:t>
      </w:r>
      <w:r>
        <w:rPr>
          <w:rFonts w:ascii="Arial" w:cs="Arial" w:eastAsia="Arial" w:hAnsi="Arial"/>
          <w:sz w:val="20"/>
          <w:szCs w:val="20"/>
        </w:rPr>
        <w:t xml:space="preserve">Singh, M., Fuenmayor, E., Hinchy, E. P., Qiao, Y., Murray, N., &amp; Devine, D. (2021). Digital twin: Origin to future. Applied System Innovation, 4(2), 36. https://doi.org/10.3390/asi4020036  [Journal Article — MDPI, Open Access; traces full history from 1960s NASA to 2021 with timeline]</w:t>
      </w:r>
    </w:p>
    <w:p>
      <w:pPr>
        <w:spacing w:after="120"/>
        <w:ind w:left="720" w:hanging="360"/>
      </w:pPr>
      <w:r>
        <w:rPr>
          <w:rFonts w:ascii="Arial" w:cs="Arial" w:eastAsia="Arial" w:hAnsi="Arial"/>
          <w:b/>
          <w:bCs/>
          <w:sz w:val="20"/>
          <w:szCs w:val="20"/>
        </w:rPr>
        <w:t xml:space="preserve">[44] </w:t>
      </w:r>
      <w:r>
        <w:rPr>
          <w:rFonts w:ascii="Arial" w:cs="Arial" w:eastAsia="Arial" w:hAnsi="Arial"/>
          <w:sz w:val="20"/>
          <w:szCs w:val="20"/>
        </w:rPr>
        <w:t xml:space="preserve">Yao, J.-F., Yang, Y., Wang, X.-C., &amp; Zhang, X.-P. (2023). Systematic review of digital twin technology and applications. Visual Computing for Industry, Biomedicine, and Art, 6(1), 10. https://doi.org/10.1186/s42492-023-00137-4  [Journal Article — Springer, Open Access; systematic review of DT evolution, technical systems, and applications across industries]</w:t>
      </w:r>
    </w:p>
    <w:p>
      <w:pPr>
        <w:spacing w:after="120"/>
        <w:ind w:left="720" w:hanging="360"/>
      </w:pPr>
      <w:r>
        <w:rPr>
          <w:rFonts w:ascii="Arial" w:cs="Arial" w:eastAsia="Arial" w:hAnsi="Arial"/>
          <w:b/>
          <w:bCs/>
          <w:sz w:val="20"/>
          <w:szCs w:val="20"/>
        </w:rPr>
        <w:t xml:space="preserve">[45] </w:t>
      </w:r>
      <w:r>
        <w:rPr>
          <w:rFonts w:ascii="Arial" w:cs="Arial" w:eastAsia="Arial" w:hAnsi="Arial"/>
          <w:sz w:val="20"/>
          <w:szCs w:val="20"/>
        </w:rPr>
        <w:t xml:space="preserve">Guo, J., &amp; Lv, Z. (2022). Application of digital twins in multiple fields. Multimedia Tools and Applications, 81(19), 26941–26967. https://doi.org/10.1007/s11042-022-12536-5  [Journal Article — Springer, Open Access via PMC (PMC8852942); reviews DT applications in manufacturing, healthcare, aerospace, smart cities, and logistics]</w:t>
      </w:r>
    </w:p>
    <w:p>
      <w:pPr>
        <w:spacing w:after="120"/>
      </w:pPr>
    </w:p>
    <w:p>
      <w:pPr>
        <w:spacing w:after="120"/>
      </w:pPr>
    </w:p>
    <w:p>
      <w:pPr>
        <w:pStyle w:val="Heading2"/>
        <w:spacing w:after="180" w:before="320"/>
      </w:pPr>
      <w:r>
        <w:rPr>
          <w:rFonts w:ascii="Arial" w:cs="Arial" w:eastAsia="Arial" w:hAnsi="Arial"/>
          <w:b/>
          <w:bCs/>
          <w:sz w:val="28"/>
          <w:szCs w:val="28"/>
        </w:rPr>
        <w:t xml:space="preserve">Your Search Guide — Section 1.5</w:t>
      </w:r>
    </w:p>
    <w:p>
      <w:pPr>
        <w:spacing w:after="160" w:line="276"/>
        <w:jc w:val="both"/>
      </w:pPr>
      <w:r>
        <w:rPr>
          <w:rFonts w:ascii="Arial" w:cs="Arial" w:eastAsia="Arial" w:hAnsi="Arial"/>
          <w:sz w:val="22"/>
          <w:szCs w:val="22"/>
        </w:rPr>
        <w:t xml:space="preserve">Queries below are formatted for Google Scholar. All recommended references are peer-reviewed or formally published academic works — no websites cited in the main text.</w:t>
      </w:r>
    </w:p>
    <w:p>
      <w:pPr>
        <w:spacing w:after="120"/>
      </w:pPr>
    </w:p>
    <w:p>
      <w:pPr>
        <w:spacing w:after="100" w:before="160"/>
      </w:pPr>
      <w:r>
        <w:rPr>
          <w:rFonts w:ascii="Arial" w:cs="Arial" w:eastAsia="Arial" w:hAnsi="Arial"/>
          <w:b/>
          <w:bCs/>
          <w:sz w:val="22"/>
          <w:szCs w:val="22"/>
          <w:u w:val="single"/>
        </w:rPr>
        <w:t xml:space="preserve">Recommended Search Queries:</w:t>
      </w:r>
    </w:p>
    <w:p>
      <w:pPr>
        <w:pStyle w:val="ListParagraph"/>
        <w:numPr>
          <w:ilvl w:val="0"/>
          <w:numId w:val="2"/>
        </w:numPr>
        <w:spacing w:after="100" w:line="276"/>
        <w:jc w:val="both"/>
      </w:pPr>
      <w:r>
        <w:rPr>
          <w:rFonts w:ascii="Arial" w:cs="Arial" w:eastAsia="Arial" w:hAnsi="Arial"/>
          <w:sz w:val="22"/>
          <w:szCs w:val="22"/>
        </w:rPr>
        <w:t xml:space="preserve">"digital twin" definition history origin Grieves manufacturing review → Filter: 2018–2024, sort by citations</w:t>
      </w:r>
    </w:p>
    <w:p>
      <w:pPr>
        <w:pStyle w:val="ListParagraph"/>
        <w:numPr>
          <w:ilvl w:val="0"/>
          <w:numId w:val="2"/>
        </w:numPr>
        <w:spacing w:after="100" w:line="276"/>
        <w:jc w:val="both"/>
      </w:pPr>
      <w:r>
        <w:rPr>
          <w:rFonts w:ascii="Arial" w:cs="Arial" w:eastAsia="Arial" w:hAnsi="Arial"/>
          <w:sz w:val="22"/>
          <w:szCs w:val="22"/>
        </w:rPr>
        <w:t xml:space="preserve">"digital twin" "digital shadow" "digital model" Kritzinger 2018 taxonomy classification manufacturing</w:t>
      </w:r>
    </w:p>
    <w:p>
      <w:pPr>
        <w:pStyle w:val="ListParagraph"/>
        <w:numPr>
          <w:ilvl w:val="0"/>
          <w:numId w:val="2"/>
        </w:numPr>
        <w:spacing w:after="100" w:line="276"/>
        <w:jc w:val="both"/>
      </w:pPr>
      <w:r>
        <w:rPr>
          <w:rFonts w:ascii="Arial" w:cs="Arial" w:eastAsia="Arial" w:hAnsi="Arial"/>
          <w:sz w:val="22"/>
          <w:szCs w:val="22"/>
        </w:rPr>
        <w:t xml:space="preserve">"digital twin" industrial applications aerospace manufacturing healthcare review 2022 2023 2024</w:t>
      </w:r>
    </w:p>
    <w:p>
      <w:pPr>
        <w:pStyle w:val="ListParagraph"/>
        <w:numPr>
          <w:ilvl w:val="0"/>
          <w:numId w:val="2"/>
        </w:numPr>
        <w:spacing w:after="100" w:line="276"/>
        <w:jc w:val="both"/>
      </w:pPr>
      <w:r>
        <w:rPr>
          <w:rFonts w:ascii="Arial" w:cs="Arial" w:eastAsia="Arial" w:hAnsi="Arial"/>
          <w:sz w:val="22"/>
          <w:szCs w:val="22"/>
        </w:rPr>
        <w:t xml:space="preserve">Rasheed San Kvamsdal 2020 digital twin modelling perspective IEEE Access → Open Access, &gt;1500 citations</w:t>
      </w:r>
    </w:p>
    <w:p>
      <w:pPr>
        <w:pStyle w:val="ListParagraph"/>
        <w:numPr>
          <w:ilvl w:val="0"/>
          <w:numId w:val="2"/>
        </w:numPr>
        <w:spacing w:after="100" w:line="276"/>
        <w:jc w:val="both"/>
      </w:pPr>
      <w:r>
        <w:rPr>
          <w:rFonts w:ascii="Arial" w:cs="Arial" w:eastAsia="Arial" w:hAnsi="Arial"/>
          <w:sz w:val="22"/>
          <w:szCs w:val="22"/>
        </w:rPr>
        <w:t xml:space="preserve">Tao Zhang 2019 digital twin industry state-of-the-art IEEE Transactions Industrial Informatics → [ref 15 already in assembled doc]</w:t>
      </w:r>
    </w:p>
    <w:p>
      <w:pPr>
        <w:pStyle w:val="ListParagraph"/>
        <w:numPr>
          <w:ilvl w:val="0"/>
          <w:numId w:val="2"/>
        </w:numPr>
        <w:spacing w:after="100" w:line="276"/>
        <w:jc w:val="both"/>
      </w:pPr>
      <w:r>
        <w:rPr>
          <w:rFonts w:ascii="Arial" w:cs="Arial" w:eastAsia="Arial" w:hAnsi="Arial"/>
          <w:sz w:val="22"/>
          <w:szCs w:val="22"/>
        </w:rPr>
        <w:t xml:space="preserve">Singh Fuenmayor 2021 digital twin origin future Applied System Innovation MDPI → Open Access history paper</w:t>
      </w:r>
    </w:p>
    <w:p>
      <w:pPr>
        <w:pStyle w:val="ListParagraph"/>
        <w:numPr>
          <w:ilvl w:val="0"/>
          <w:numId w:val="2"/>
        </w:numPr>
        <w:spacing w:after="100" w:line="276"/>
        <w:jc w:val="both"/>
      </w:pPr>
      <w:r>
        <w:rPr>
          <w:rFonts w:ascii="Arial" w:cs="Arial" w:eastAsia="Arial" w:hAnsi="Arial"/>
          <w:sz w:val="22"/>
          <w:szCs w:val="22"/>
        </w:rPr>
        <w:t xml:space="preserve">Glaessgen Stargel 2012 digital twin paradigm NASA AIAA → coined the term; freely available</w:t>
      </w:r>
    </w:p>
    <w:p>
      <w:pPr>
        <w:spacing w:after="120"/>
      </w:pPr>
    </w:p>
    <w:p>
      <w:pPr>
        <w:spacing w:after="100" w:before="160"/>
      </w:pPr>
      <w:r>
        <w:rPr>
          <w:rFonts w:ascii="Arial" w:cs="Arial" w:eastAsia="Arial" w:hAnsi="Arial"/>
          <w:b/>
          <w:bCs/>
          <w:sz w:val="22"/>
          <w:szCs w:val="22"/>
          <w:u w:val="single"/>
        </w:rPr>
        <w:t xml:space="preserve">Key Papers to Read and Verify (by priority):</w:t>
      </w:r>
    </w:p>
    <w:p>
      <w:pPr>
        <w:pStyle w:val="ListParagraph"/>
        <w:numPr>
          <w:ilvl w:val="0"/>
          <w:numId w:val="2"/>
        </w:numPr>
        <w:spacing w:after="100" w:line="276"/>
        <w:jc w:val="both"/>
      </w:pPr>
      <w:r>
        <w:rPr>
          <w:rFonts w:ascii="Arial" w:cs="Arial" w:eastAsia="Arial" w:hAnsi="Arial"/>
          <w:sz w:val="22"/>
          <w:szCs w:val="22"/>
        </w:rPr>
        <w:t xml:space="preserve">Kritzinger et al. (2018) [ref 40] — DM / DS / DT taxonomy; &gt;736 citations; freely available on ResearchGate. THIS is the paper your supervisor will expect to see for Section 1.5.3.</w:t>
      </w:r>
    </w:p>
    <w:p>
      <w:pPr>
        <w:pStyle w:val="ListParagraph"/>
        <w:numPr>
          <w:ilvl w:val="0"/>
          <w:numId w:val="2"/>
        </w:numPr>
        <w:spacing w:after="100" w:line="276"/>
        <w:jc w:val="both"/>
      </w:pPr>
      <w:r>
        <w:rPr>
          <w:rFonts w:ascii="Arial" w:cs="Arial" w:eastAsia="Arial" w:hAnsi="Arial"/>
          <w:sz w:val="22"/>
          <w:szCs w:val="22"/>
        </w:rPr>
        <w:t xml:space="preserve">Rasheed et al. (2020) [ref 39] — IEEE Access Open Access; best comprehensive DT definition from modelling perspective; &gt;1500 citations.</w:t>
      </w:r>
    </w:p>
    <w:p>
      <w:pPr>
        <w:pStyle w:val="ListParagraph"/>
        <w:numPr>
          <w:ilvl w:val="0"/>
          <w:numId w:val="2"/>
        </w:numPr>
        <w:spacing w:after="100" w:line="276"/>
        <w:jc w:val="both"/>
      </w:pPr>
      <w:r>
        <w:rPr>
          <w:rFonts w:ascii="Arial" w:cs="Arial" w:eastAsia="Arial" w:hAnsi="Arial"/>
          <w:sz w:val="22"/>
          <w:szCs w:val="22"/>
        </w:rPr>
        <w:t xml:space="preserve">Grieves (2014) [ref 41] — White Paper; origin of 3-component model; freely available on ResearchGate.</w:t>
      </w:r>
    </w:p>
    <w:p>
      <w:pPr>
        <w:pStyle w:val="ListParagraph"/>
        <w:numPr>
          <w:ilvl w:val="0"/>
          <w:numId w:val="2"/>
        </w:numPr>
        <w:spacing w:after="100" w:line="276"/>
        <w:jc w:val="both"/>
      </w:pPr>
      <w:r>
        <w:rPr>
          <w:rFonts w:ascii="Arial" w:cs="Arial" w:eastAsia="Arial" w:hAnsi="Arial"/>
          <w:sz w:val="22"/>
          <w:szCs w:val="22"/>
        </w:rPr>
        <w:t xml:space="preserve">Glaessgen &amp; Stargel (2012) [ref 42] — NASA/AIAA; coined the term; &gt;1200 citations; free PDF via NASA Technical Reports.</w:t>
      </w:r>
    </w:p>
    <w:p>
      <w:pPr>
        <w:pStyle w:val="ListParagraph"/>
        <w:numPr>
          <w:ilvl w:val="0"/>
          <w:numId w:val="2"/>
        </w:numPr>
        <w:spacing w:after="100" w:line="276"/>
        <w:jc w:val="both"/>
      </w:pPr>
      <w:r>
        <w:rPr>
          <w:rFonts w:ascii="Arial" w:cs="Arial" w:eastAsia="Arial" w:hAnsi="Arial"/>
          <w:sz w:val="22"/>
          <w:szCs w:val="22"/>
        </w:rPr>
        <w:t xml:space="preserve">Singh et al. (2021) [ref 43] — MDPI Open Access; full history timeline from 1960s to 2021; read to verify Table 1.3.</w:t>
      </w:r>
    </w:p>
    <w:p>
      <w:pPr>
        <w:pStyle w:val="ListParagraph"/>
        <w:numPr>
          <w:ilvl w:val="0"/>
          <w:numId w:val="2"/>
        </w:numPr>
        <w:spacing w:after="100" w:line="276"/>
        <w:jc w:val="both"/>
      </w:pPr>
      <w:r>
        <w:rPr>
          <w:rFonts w:ascii="Arial" w:cs="Arial" w:eastAsia="Arial" w:hAnsi="Arial"/>
          <w:sz w:val="22"/>
          <w:szCs w:val="22"/>
        </w:rPr>
        <w:t xml:space="preserve">Tao et al. (2019) IEEE TII [already ref 15 in assembled doc] — five-dimension model; mandatory reference for DT definition.</w:t>
      </w:r>
    </w:p>
    <w:p>
      <w:pPr>
        <w:pStyle w:val="ListParagraph"/>
        <w:numPr>
          <w:ilvl w:val="0"/>
          <w:numId w:val="2"/>
        </w:numPr>
        <w:spacing w:after="100" w:line="276"/>
        <w:jc w:val="both"/>
      </w:pPr>
      <w:r>
        <w:rPr>
          <w:rFonts w:ascii="Arial" w:cs="Arial" w:eastAsia="Arial" w:hAnsi="Arial"/>
          <w:sz w:val="22"/>
          <w:szCs w:val="22"/>
        </w:rPr>
        <w:t xml:space="preserve">Liu et al. (2022) [already ref 16] — DT-enabled AM review; mandatory for Section 1.5.4f.</w:t>
      </w:r>
    </w:p>
    <w:p>
      <w:pPr>
        <w:spacing w:after="120"/>
      </w:pPr>
    </w:p>
    <w:p>
      <w:pPr>
        <w:spacing w:after="100" w:before="160"/>
      </w:pPr>
      <w:r>
        <w:rPr>
          <w:rFonts w:ascii="Arial" w:cs="Arial" w:eastAsia="Arial" w:hAnsi="Arial"/>
          <w:b/>
          <w:bCs/>
          <w:sz w:val="22"/>
          <w:szCs w:val="22"/>
          <w:u w:val="single"/>
        </w:rPr>
        <w:t xml:space="preserve">Notes on Supervision Constraints:</w:t>
      </w:r>
    </w:p>
    <w:p>
      <w:pPr>
        <w:pStyle w:val="ListParagraph"/>
        <w:numPr>
          <w:ilvl w:val="0"/>
          <w:numId w:val="2"/>
        </w:numPr>
        <w:spacing w:after="100" w:line="276"/>
        <w:jc w:val="both"/>
      </w:pPr>
      <w:r>
        <w:rPr>
          <w:rFonts w:ascii="Arial" w:cs="Arial" w:eastAsia="Arial" w:hAnsi="Arial"/>
          <w:sz w:val="22"/>
          <w:szCs w:val="22"/>
        </w:rPr>
        <w:t xml:space="preserve">All 7 new references [39]–[45] are peer-reviewed papers or formally published white papers. References [39], [43], [44], [45] are Open Access — download and read before citing.</w:t>
      </w:r>
    </w:p>
    <w:p>
      <w:pPr>
        <w:pStyle w:val="ListParagraph"/>
        <w:numPr>
          <w:ilvl w:val="0"/>
          <w:numId w:val="2"/>
        </w:numPr>
        <w:spacing w:after="100" w:line="276"/>
        <w:jc w:val="both"/>
      </w:pPr>
      <w:r>
        <w:rPr>
          <w:rFonts w:ascii="Arial" w:cs="Arial" w:eastAsia="Arial" w:hAnsi="Arial"/>
          <w:sz w:val="22"/>
          <w:szCs w:val="22"/>
        </w:rPr>
        <w:t xml:space="preserve">Reference [41] (Grieves 2014 white paper) is not a peer-reviewed journal article. If your supervisor rejects it, replace with: Grieves, M., &amp; Vickers, J. (2017). Digital twin: Mitigating unpredictable, undesirable emergent behavior in complex systems. In Transdisciplinary Perspectives on Complex Systems (pp. 85–113). Springer. DOI: 10.1007/978-3-319-38756-7_4 — a Springer book chapter by the same author.</w:t>
      </w:r>
    </w:p>
    <w:p>
      <w:pPr>
        <w:pStyle w:val="ListParagraph"/>
        <w:numPr>
          <w:ilvl w:val="0"/>
          <w:numId w:val="2"/>
        </w:numPr>
        <w:spacing w:after="100" w:line="276"/>
        <w:jc w:val="both"/>
      </w:pPr>
      <w:r>
        <w:rPr>
          <w:rFonts w:ascii="Arial" w:cs="Arial" w:eastAsia="Arial" w:hAnsi="Arial"/>
          <w:sz w:val="22"/>
          <w:szCs w:val="22"/>
        </w:rPr>
        <w:t xml:space="preserve">Reference [42] (Glaessgen &amp; Stargel 2012) is a conference paper — widely accepted as the founding NASA definition; available free from NASA Technical Reports Server (NTRS).</w:t>
      </w:r>
    </w:p>
    <w:p>
      <w:pPr>
        <w:pStyle w:val="ListParagraph"/>
        <w:numPr>
          <w:ilvl w:val="0"/>
          <w:numId w:val="2"/>
        </w:numPr>
        <w:spacing w:after="100" w:line="276"/>
        <w:jc w:val="both"/>
      </w:pPr>
      <w:r>
        <w:rPr>
          <w:rFonts w:ascii="Arial" w:cs="Arial" w:eastAsia="Arial" w:hAnsi="Arial"/>
          <w:sz w:val="22"/>
          <w:szCs w:val="22"/>
        </w:rPr>
        <w:t xml:space="preserve">The distinction in Table 1.4 (DM / DS / DT) is based entirely on ref [40] (Kritzinger et al., 2018) — always cite this paper whenever you use the three-tier terminology.</w:t>
      </w:r>
    </w:p>
    <w:p>
      <w:pPr>
        <w:pStyle w:val="ListParagraph"/>
        <w:numPr>
          <w:ilvl w:val="0"/>
          <w:numId w:val="2"/>
        </w:numPr>
        <w:spacing w:after="100" w:line="276"/>
        <w:jc w:val="both"/>
      </w:pPr>
      <w:r>
        <w:rPr>
          <w:rFonts w:ascii="Arial" w:cs="Arial" w:eastAsia="Arial" w:hAnsi="Arial"/>
          <w:sz w:val="22"/>
          <w:szCs w:val="22"/>
        </w:rPr>
        <w:t xml:space="preserve">For Section 1.5.4, references [16] and [17] are already in your assembled document (Liu et al. 2022, Caggiano et al. 2021) — no new refs needed for the AM sub-section.</w:t>
      </w:r>
    </w:p>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320"/>
      <w:outlineLvl w:val="1"/>
    </w:pPr>
    <w:rPr>
      <w:rFonts w:ascii="Arial" w:cs="Arial" w:eastAsia="Arial" w:hAnsi="Arial"/>
      <w:b/>
      <w:bCs/>
      <w:sz w:val="28"/>
      <w:szCs w:val="28"/>
    </w:rPr>
  </w:style>
  <w:style w:type="paragraph" w:styleId="Heading3">
    <w:name w:val="Heading 3"/>
    <w:basedOn w:val="Normal"/>
    <w:next w:val="Normal"/>
    <w:qFormat/>
    <w:pPr>
      <w:spacing w:after="14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2026-05-09T22:13:21.005Z</dcterms:created>
  <dcterms:modified xsi:type="dcterms:W3CDTF">2026-05-09T22:13:21.026Z</dcterms:modified>
</cp:coreProperties>
</file>

<file path=docProps/custom.xml><?xml version="1.0" encoding="utf-8"?>
<Properties xmlns="http://schemas.openxmlformats.org/officeDocument/2006/custom-properties" xmlns:vt="http://schemas.openxmlformats.org/officeDocument/2006/docPropsVTypes"/>
</file>