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20"/>
      </w:pPr>
      <w:r>
        <w:rPr>
          <w:rFonts w:ascii="Arial" w:cs="Arial" w:eastAsia="Arial" w:hAnsi="Arial"/>
          <w:b/>
          <w:bCs/>
          <w:sz w:val="28"/>
          <w:szCs w:val="28"/>
        </w:rPr>
        <w:t xml:space="preserve">1.6  Critical Analysis and Synthesis</w:t>
      </w:r>
    </w:p>
    <w:p>
      <w:pPr>
        <w:spacing w:after="160" w:line="276"/>
        <w:jc w:val="both"/>
      </w:pPr>
      <w:r>
        <w:rPr>
          <w:rFonts w:ascii="Arial" w:cs="Arial" w:eastAsia="Arial" w:hAnsi="Arial"/>
          <w:sz w:val="22"/>
          <w:szCs w:val="22"/>
        </w:rPr>
        <w:t xml:space="preserve">The comparative study in Section 1.5 surveyed nine representative works [W1–W9] covering digital twin development, fault detection, and real-time monitoring for FDM 3D printing and closely related domains. This section synthesises the findings of that comparative analysis into four structured conclusions: the </w:t>
      </w:r>
      <w:r>
        <w:rPr>
          <w:rFonts w:ascii="Arial" w:cs="Arial" w:eastAsia="Arial" w:hAnsi="Arial"/>
          <w:b/>
          <w:bCs/>
          <w:sz w:val="22"/>
          <w:szCs w:val="22"/>
        </w:rPr>
        <w:t xml:space="preserve">strengths of existing approaches</w:t>
      </w:r>
      <w:r>
        <w:rPr>
          <w:rFonts w:ascii="Arial" w:cs="Arial" w:eastAsia="Arial" w:hAnsi="Arial"/>
          <w:sz w:val="22"/>
          <w:szCs w:val="22"/>
        </w:rPr>
        <w:t xml:space="preserve">, their </w:t>
      </w:r>
      <w:r>
        <w:rPr>
          <w:rFonts w:ascii="Arial" w:cs="Arial" w:eastAsia="Arial" w:hAnsi="Arial"/>
          <w:b/>
          <w:bCs/>
          <w:sz w:val="22"/>
          <w:szCs w:val="22"/>
        </w:rPr>
        <w:t xml:space="preserve">identified limitations</w:t>
      </w:r>
      <w:r>
        <w:rPr>
          <w:rFonts w:ascii="Arial" w:cs="Arial" w:eastAsia="Arial" w:hAnsi="Arial"/>
          <w:sz w:val="22"/>
          <w:szCs w:val="22"/>
        </w:rPr>
        <w:t xml:space="preserve">, the </w:t>
      </w:r>
      <w:r>
        <w:rPr>
          <w:rFonts w:ascii="Arial" w:cs="Arial" w:eastAsia="Arial" w:hAnsi="Arial"/>
          <w:b/>
          <w:bCs/>
          <w:sz w:val="22"/>
          <w:szCs w:val="22"/>
        </w:rPr>
        <w:t xml:space="preserve">uncovered needs</w:t>
      </w:r>
      <w:r>
        <w:rPr>
          <w:rFonts w:ascii="Arial" w:cs="Arial" w:eastAsia="Arial" w:hAnsi="Arial"/>
          <w:sz w:val="22"/>
          <w:szCs w:val="22"/>
        </w:rPr>
        <w:t xml:space="preserve"> that the literature has not yet addressed, and the </w:t>
      </w:r>
      <w:r>
        <w:rPr>
          <w:rFonts w:ascii="Arial" w:cs="Arial" w:eastAsia="Arial" w:hAnsi="Arial"/>
          <w:b/>
          <w:bCs/>
          <w:sz w:val="22"/>
          <w:szCs w:val="22"/>
        </w:rPr>
        <w:t xml:space="preserve">improvement opportunities</w:t>
      </w:r>
      <w:r>
        <w:rPr>
          <w:rFonts w:ascii="Arial" w:cs="Arial" w:eastAsia="Arial" w:hAnsi="Arial"/>
          <w:sz w:val="22"/>
          <w:szCs w:val="22"/>
        </w:rPr>
        <w:t xml:space="preserve"> that these gaps create. Table 1.5 provides a visual synthesis matrix mapping each reviewed work against ten capability dimensions, making the cumulative gap explicit.</w:t>
      </w:r>
    </w:p>
    <w:p>
      <w:pPr>
        <w:spacing w:after="120"/>
      </w:pPr>
    </w:p>
    <w:p>
      <w:pPr>
        <w:spacing w:after="80"/>
        <w:jc w:val="center"/>
      </w:pPr>
      <w:r>
        <w:rPr>
          <w:rFonts w:ascii="Arial" w:cs="Arial" w:eastAsia="Arial" w:hAnsi="Arial"/>
          <w:i/>
          <w:iCs/>
          <w:sz w:val="20"/>
          <w:szCs w:val="20"/>
        </w:rPr>
        <w:t xml:space="preserve">Table 1.5 – Synthesis matrix: capabilities of existing works vs. present thesis (W10)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850"/>
        <w:gridCol w:w="850"/>
        <w:gridCol w:w="850"/>
        <w:gridCol w:w="850"/>
        <w:gridCol w:w="850"/>
        <w:gridCol w:w="850"/>
        <w:gridCol w:w="850"/>
        <w:gridCol w:w="1000"/>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Capability / Dimension</w:t>
            </w:r>
          </w:p>
        </w:tc>
        <w:tc>
          <w:tcPr>
            <w:tcW w:type="dxa" w:w="8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W1</w:t>
            </w:r>
          </w:p>
        </w:tc>
        <w:tc>
          <w:tcPr>
            <w:tcW w:type="dxa" w:w="8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W2</w:t>
            </w:r>
          </w:p>
        </w:tc>
        <w:tc>
          <w:tcPr>
            <w:tcW w:type="dxa" w:w="8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W3</w:t>
            </w:r>
          </w:p>
        </w:tc>
        <w:tc>
          <w:tcPr>
            <w:tcW w:type="dxa" w:w="8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W4</w:t>
            </w:r>
          </w:p>
        </w:tc>
        <w:tc>
          <w:tcPr>
            <w:tcW w:type="dxa" w:w="8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W5</w:t>
            </w:r>
          </w:p>
        </w:tc>
        <w:tc>
          <w:tcPr>
            <w:tcW w:type="dxa" w:w="8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W6</w:t>
            </w:r>
          </w:p>
        </w:tc>
        <w:tc>
          <w:tcPr>
            <w:tcW w:type="dxa" w:w="8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W7/W9</w:t>
            </w:r>
          </w:p>
        </w:tc>
        <w:tc>
          <w:tcPr>
            <w:tcW w:type="dxa" w:w="1000"/>
            <w:tcBorders>
              <w:top w:val="single" w:color="CCCCCC" w:sz="4"/>
              <w:left w:val="single" w:color="CCCCCC" w:sz="4"/>
              <w:bottom w:val="single" w:color="CCCCCC" w:sz="4"/>
              <w:right w:val="single" w:color="CCCCCC" w:sz="4"/>
            </w:tcBorders>
            <w:shd w:fill="1F6B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W10 (This thesis)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sz w:val="19"/>
                <w:szCs w:val="19"/>
              </w:rPr>
              <w:t xml:space="preserve">FDM-specific domain</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Multi-modal sensor fusion</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sz w:val="19"/>
                <w:szCs w:val="19"/>
              </w:rPr>
              <w:t xml:space="preserve">Real-time data acquisition</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ML-based fault prediction</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sz w:val="19"/>
                <w:szCs w:val="19"/>
              </w:rPr>
              <w:t xml:space="preserve">3D digital twin visualisation</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Web-native UI (zero install)</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sz w:val="19"/>
                <w:szCs w:val="19"/>
              </w:rPr>
              <w:t xml:space="preserve">Edge deployment (Raspi/ESP32)</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Total hardware cost &lt; €50</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sz w:val="19"/>
                <w:szCs w:val="19"/>
              </w:rPr>
              <w:t xml:space="preserve">Open-source stack</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Bidirectional DT (true Kritzinger)</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85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w:t>
            </w:r>
          </w:p>
        </w:tc>
        <w:tc>
          <w:tcPr>
            <w:tcW w:type="dxa" w:w="1000"/>
            <w:tcBorders>
              <w:top w:val="single" w:color="CCCCCC" w:sz="4"/>
              <w:left w:val="single" w:color="CCCCCC" w:sz="4"/>
              <w:bottom w:val="single" w:color="CCCCCC" w:sz="4"/>
              <w:right w:val="single" w:color="CCCCCC" w:sz="4"/>
            </w:tcBorders>
            <w:shd w:fill="FFFF99" w:val="clear"/>
            <w:tcMar>
              <w:top w:type="dxa" w:w="80"/>
              <w:left w:type="dxa" w:w="120"/>
              <w:bottom w:type="dxa" w:w="80"/>
              <w:right w:type="dxa" w:w="120"/>
            </w:tcMar>
          </w:tcPr>
          <w:p>
            <w:pPr>
              <w:jc w:val="center"/>
            </w:pPr>
            <w:r>
              <w:rPr>
                <w:rFonts w:ascii="Arial" w:cs="Arial" w:eastAsia="Arial" w:hAnsi="Arial"/>
                <w:b/>
                <w:bCs/>
                <w:sz w:val="19"/>
                <w:szCs w:val="19"/>
              </w:rPr>
              <w:t xml:space="preserv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 fully present   ~ = partially present   ✗ = absent</w:t>
            </w:r>
          </w:p>
        </w:tc>
        <w:tc>
          <w:tcPr>
            <w:tcW w:type="dxa" w:w="8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c>
          <w:tcPr>
            <w:tcW w:type="dxa" w:w="8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c>
          <w:tcPr>
            <w:tcW w:type="dxa" w:w="8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c>
          <w:tcPr>
            <w:tcW w:type="dxa" w:w="8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c>
          <w:tcPr>
            <w:tcW w:type="dxa" w:w="8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c>
          <w:tcPr>
            <w:tcW w:type="dxa" w:w="8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c>
          <w:tcPr>
            <w:tcW w:type="dxa" w:w="8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i/>
                <w:iCs/>
                <w:color w:val="555555"/>
                <w:sz w:val="18"/>
                <w:szCs w:val="18"/>
              </w:rPr>
              <w:t xml:space="preserve"/>
            </w:r>
          </w:p>
        </w:tc>
      </w:tr>
    </w:tbl>
    <w:p>
      <w:pPr>
        <w:spacing w:after="120"/>
      </w:pPr>
    </w:p>
    <w:p>
      <w:pPr>
        <w:spacing w:after="120"/>
      </w:pPr>
    </w:p>
    <w:p>
      <w:pPr>
        <w:spacing w:after="160" w:line="276"/>
        <w:jc w:val="both"/>
      </w:pPr>
      <w:r>
        <w:rPr>
          <w:rFonts w:ascii="Arial" w:cs="Arial" w:eastAsia="Arial" w:hAnsi="Arial"/>
          <w:sz w:val="22"/>
          <w:szCs w:val="22"/>
        </w:rPr>
        <w:t xml:space="preserve">Reading Table 1.5 by column reveals the central finding of this analysis: </w:t>
      </w:r>
      <w:r>
        <w:rPr>
          <w:rFonts w:ascii="Arial" w:cs="Arial" w:eastAsia="Arial" w:hAnsi="Arial"/>
          <w:b/>
          <w:bCs/>
          <w:sz w:val="22"/>
          <w:szCs w:val="22"/>
        </w:rPr>
        <w:t xml:space="preserve">no single reviewed work achieves a full tick (✓) across all ten dimensions</w:t>
      </w:r>
      <w:r>
        <w:rPr>
          <w:rFonts w:ascii="Arial" w:cs="Arial" w:eastAsia="Arial" w:hAnsi="Arial"/>
          <w:sz w:val="22"/>
          <w:szCs w:val="22"/>
        </w:rPr>
        <w:t xml:space="preserve">. The present thesis (W10, rightmost column) is specifically designed to address this composite gap — not by being the first to introduce any individual capability, but by being the first to integrate all of them simultaneously in a low-cost, open-source, web-native architecture for desktop FDM printing. Each subsection below substantiates this claim with evidence from the reviewed literature and the broader systematic review literature </w:t>
      </w:r>
      <w:r>
        <w:rPr>
          <w:rFonts w:ascii="Arial" w:cs="Arial" w:eastAsia="Arial" w:hAnsi="Arial"/>
          <w:b/>
          <w:bCs/>
          <w:sz w:val="22"/>
          <w:szCs w:val="22"/>
        </w:rPr>
        <w:t xml:space="preserve">[46][47]</w:t>
      </w:r>
      <w:r>
        <w:rPr>
          <w:rFonts w:ascii="Arial" w:cs="Arial" w:eastAsia="Arial" w:hAnsi="Arial"/>
          <w:sz w:val="22"/>
          <w:szCs w:val="22"/>
        </w:rPr>
        <w:t xml:space="preserve">.</w:t>
      </w:r>
    </w:p>
    <w:p>
      <w:pPr>
        <w:pStyle w:val="Heading3"/>
        <w:spacing w:after="140" w:before="240"/>
      </w:pPr>
      <w:r>
        <w:rPr>
          <w:rFonts w:ascii="Arial" w:cs="Arial" w:eastAsia="Arial" w:hAnsi="Arial"/>
          <w:b/>
          <w:bCs/>
          <w:sz w:val="24"/>
          <w:szCs w:val="24"/>
        </w:rPr>
        <w:t xml:space="preserve">1.6.1  Strengths of Existing Approaches</w:t>
      </w:r>
    </w:p>
    <w:p>
      <w:pPr>
        <w:spacing w:after="160" w:line="276"/>
        <w:jc w:val="both"/>
      </w:pPr>
      <w:r>
        <w:rPr>
          <w:rFonts w:ascii="Arial" w:cs="Arial" w:eastAsia="Arial" w:hAnsi="Arial"/>
          <w:sz w:val="22"/>
          <w:szCs w:val="22"/>
        </w:rPr>
        <w:t xml:space="preserve">The reviewed works collectively demonstrate that the technical building blocks required for an intelligent digital twin of an FDM printer are individually mature and validated. The following strengths represent solid foundations on which the present thesis builds.</w:t>
      </w:r>
    </w:p>
    <w:p>
      <w:pPr>
        <w:spacing w:after="100" w:before="160"/>
      </w:pPr>
      <w:r>
        <w:rPr>
          <w:rFonts w:ascii="Arial" w:cs="Arial" w:eastAsia="Arial" w:hAnsi="Arial"/>
          <w:b/>
          <w:bCs/>
          <w:sz w:val="22"/>
          <w:szCs w:val="22"/>
          <w:u w:val="single"/>
        </w:rPr>
        <w:t xml:space="preserve">S1 — Vibration-based fault detection is well-established and highly effective</w:t>
      </w:r>
    </w:p>
    <w:p>
      <w:pPr>
        <w:spacing w:after="160" w:line="276"/>
        <w:jc w:val="both"/>
      </w:pPr>
      <w:r>
        <w:rPr>
          <w:rFonts w:ascii="Arial" w:cs="Arial" w:eastAsia="Arial" w:hAnsi="Arial"/>
          <w:sz w:val="22"/>
          <w:szCs w:val="22"/>
        </w:rPr>
        <w:t xml:space="preserve">The most consistent strength across the literature is the demonstrated effectiveness of </w:t>
      </w:r>
      <w:r>
        <w:rPr>
          <w:rFonts w:ascii="Arial" w:cs="Arial" w:eastAsia="Arial" w:hAnsi="Arial"/>
          <w:b/>
          <w:bCs/>
          <w:sz w:val="22"/>
          <w:szCs w:val="22"/>
        </w:rPr>
        <w:t xml:space="preserve">accelerometer-based vibration monitoring</w:t>
      </w:r>
      <w:r>
        <w:rPr>
          <w:rFonts w:ascii="Arial" w:cs="Arial" w:eastAsia="Arial" w:hAnsi="Arial"/>
          <w:sz w:val="22"/>
          <w:szCs w:val="22"/>
        </w:rPr>
        <w:t xml:space="preserve"> for detecting mechanical anomalies in FDM printers. Mishra et al. [W6] achieved </w:t>
      </w:r>
      <w:r>
        <w:rPr>
          <w:rFonts w:ascii="Arial" w:cs="Arial" w:eastAsia="Arial" w:hAnsi="Arial"/>
          <w:b/>
          <w:bCs/>
          <w:sz w:val="22"/>
          <w:szCs w:val="22"/>
        </w:rPr>
        <w:t xml:space="preserve">97.17% anomaly detection accuracy</w:t>
      </w:r>
      <w:r>
        <w:rPr>
          <w:rFonts w:ascii="Arial" w:cs="Arial" w:eastAsia="Arial" w:hAnsi="Arial"/>
          <w:sz w:val="22"/>
          <w:szCs w:val="22"/>
        </w:rPr>
        <w:t xml:space="preserve"> using an LSTM network on single-axis vibration data. Isiani et al. [W2] quantified that sensor placement alone accounts for up to </w:t>
      </w:r>
      <w:r>
        <w:rPr>
          <w:rFonts w:ascii="Arial" w:cs="Arial" w:eastAsia="Arial" w:hAnsi="Arial"/>
          <w:b/>
          <w:bCs/>
          <w:sz w:val="22"/>
          <w:szCs w:val="22"/>
        </w:rPr>
        <w:t xml:space="preserve">71% variation in detection sensitivity</w:t>
      </w:r>
      <w:r>
        <w:rPr>
          <w:rFonts w:ascii="Arial" w:cs="Arial" w:eastAsia="Arial" w:hAnsi="Arial"/>
          <w:sz w:val="22"/>
          <w:szCs w:val="22"/>
        </w:rPr>
        <w:t xml:space="preserve"> — a finding that directly shaped the MPU-6050 mounting position on the X-axis carriage in this thesis. Kim et al. [W5] validated SVM-based classification of mechanical faults (loosened bolts, layer shifting) with high precision using RMS features from multiple accelerometers. These results establish vibration sensing as the </w:t>
      </w:r>
      <w:r>
        <w:rPr>
          <w:rFonts w:ascii="Arial" w:cs="Arial" w:eastAsia="Arial" w:hAnsi="Arial"/>
          <w:b/>
          <w:bCs/>
          <w:sz w:val="22"/>
          <w:szCs w:val="22"/>
        </w:rPr>
        <w:t xml:space="preserve">primary and most reliable modality</w:t>
      </w:r>
      <w:r>
        <w:rPr>
          <w:rFonts w:ascii="Arial" w:cs="Arial" w:eastAsia="Arial" w:hAnsi="Arial"/>
          <w:sz w:val="22"/>
          <w:szCs w:val="22"/>
        </w:rPr>
        <w:t xml:space="preserve"> for FDM fault detection.</w:t>
      </w:r>
    </w:p>
    <w:p>
      <w:pPr>
        <w:spacing w:after="100" w:before="160"/>
      </w:pPr>
      <w:r>
        <w:rPr>
          <w:rFonts w:ascii="Arial" w:cs="Arial" w:eastAsia="Arial" w:hAnsi="Arial"/>
          <w:b/>
          <w:bCs/>
          <w:sz w:val="22"/>
          <w:szCs w:val="22"/>
          <w:u w:val="single"/>
        </w:rPr>
        <w:t xml:space="preserve">S2 — Machine learning models provide proven, quantified detection performance</w:t>
      </w:r>
    </w:p>
    <w:p>
      <w:pPr>
        <w:spacing w:after="160" w:line="276"/>
        <w:jc w:val="both"/>
      </w:pPr>
      <w:r>
        <w:rPr>
          <w:rFonts w:ascii="Arial" w:cs="Arial" w:eastAsia="Arial" w:hAnsi="Arial"/>
          <w:sz w:val="22"/>
          <w:szCs w:val="22"/>
        </w:rPr>
        <w:t xml:space="preserve">Across works [W2, W4, W5, W6], machine learning models — from classical SVM with PCA-extracted FFT features to deep LSTM networks — have been successfully applied to FDM fault classification. The progression from rule-based thresholds [W9] to classical ML [W2, W5] to deep learning [W6] mirrors the broader evolution of predictive maintenance described by Hector and Panjanathan [37]. </w:t>
      </w:r>
      <w:r>
        <w:rPr>
          <w:rFonts w:ascii="Arial" w:cs="Arial" w:eastAsia="Arial" w:hAnsi="Arial"/>
          <w:b/>
          <w:bCs/>
          <w:sz w:val="22"/>
          <w:szCs w:val="22"/>
        </w:rPr>
        <w:t xml:space="preserve">Deep learning, in particular LSTM networks, outperforms all other reviewed methods on temporal vibration data</w:t>
      </w:r>
      <w:r>
        <w:rPr>
          <w:rFonts w:ascii="Arial" w:cs="Arial" w:eastAsia="Arial" w:hAnsi="Arial"/>
          <w:sz w:val="22"/>
          <w:szCs w:val="22"/>
        </w:rPr>
        <w:t xml:space="preserve"> [W6], confirming the architecture choice made in the present work's Tier 2 prediction engine.</w:t>
      </w:r>
    </w:p>
    <w:p>
      <w:pPr>
        <w:spacing w:after="100" w:before="160"/>
      </w:pPr>
      <w:r>
        <w:rPr>
          <w:rFonts w:ascii="Arial" w:cs="Arial" w:eastAsia="Arial" w:hAnsi="Arial"/>
          <w:b/>
          <w:bCs/>
          <w:sz w:val="22"/>
          <w:szCs w:val="22"/>
          <w:u w:val="single"/>
        </w:rPr>
        <w:t xml:space="preserve">S3 — Low-cost IoT architectures are proven feasible</w:t>
      </w:r>
    </w:p>
    <w:p>
      <w:pPr>
        <w:spacing w:after="160" w:line="276"/>
        <w:jc w:val="both"/>
      </w:pPr>
      <w:r>
        <w:rPr>
          <w:rFonts w:ascii="Arial" w:cs="Arial" w:eastAsia="Arial" w:hAnsi="Arial"/>
          <w:sz w:val="22"/>
          <w:szCs w:val="22"/>
        </w:rPr>
        <w:t xml:space="preserve">Caruso et al. [W9] demonstrated that a fully operational IoT condition monitoring system for a desktop FDM printer can be built for </w:t>
      </w:r>
      <w:r>
        <w:rPr>
          <w:rFonts w:ascii="Arial" w:cs="Arial" w:eastAsia="Arial" w:hAnsi="Arial"/>
          <w:b/>
          <w:bCs/>
          <w:sz w:val="22"/>
          <w:szCs w:val="22"/>
        </w:rPr>
        <w:t xml:space="preserve">under €100 using commercial off-the-shelf components</w:t>
      </w:r>
      <w:r>
        <w:rPr>
          <w:rFonts w:ascii="Arial" w:cs="Arial" w:eastAsia="Arial" w:hAnsi="Arial"/>
          <w:sz w:val="22"/>
          <w:szCs w:val="22"/>
        </w:rPr>
        <w:t xml:space="preserve">. Kolok et al. [W7] independently validated a similar architecture (ESP32 + MEMS accelerometer) for rotating machinery at comparable cost, achieving approximately 73% detection accuracy. Together, these works establish the </w:t>
      </w:r>
      <w:r>
        <w:rPr>
          <w:rFonts w:ascii="Arial" w:cs="Arial" w:eastAsia="Arial" w:hAnsi="Arial"/>
          <w:b/>
          <w:bCs/>
          <w:sz w:val="22"/>
          <w:szCs w:val="22"/>
        </w:rPr>
        <w:t xml:space="preserve">economic feasibility of low-cost PdM</w:t>
      </w:r>
      <w:r>
        <w:rPr>
          <w:rFonts w:ascii="Arial" w:cs="Arial" w:eastAsia="Arial" w:hAnsi="Arial"/>
          <w:sz w:val="22"/>
          <w:szCs w:val="22"/>
        </w:rPr>
        <w:t xml:space="preserve"> and demonstrate that the cost barrier historically associated with industrial predictive maintenance systems does not apply to the present domain </w:t>
      </w:r>
      <w:r>
        <w:rPr>
          <w:rFonts w:ascii="Arial" w:cs="Arial" w:eastAsia="Arial" w:hAnsi="Arial"/>
          <w:b/>
          <w:bCs/>
          <w:sz w:val="22"/>
          <w:szCs w:val="22"/>
        </w:rPr>
        <w:t xml:space="preserve">[20]</w:t>
      </w:r>
      <w:r>
        <w:rPr>
          <w:rFonts w:ascii="Arial" w:cs="Arial" w:eastAsia="Arial" w:hAnsi="Arial"/>
          <w:sz w:val="22"/>
          <w:szCs w:val="22"/>
        </w:rPr>
        <w:t xml:space="preserve">. This directly validates the hardware budget constraint adopted in the present thesis (&lt; €50 for sensors).</w:t>
      </w:r>
    </w:p>
    <w:p>
      <w:pPr>
        <w:spacing w:after="100" w:before="160"/>
      </w:pPr>
      <w:r>
        <w:rPr>
          <w:rFonts w:ascii="Arial" w:cs="Arial" w:eastAsia="Arial" w:hAnsi="Arial"/>
          <w:b/>
          <w:bCs/>
          <w:sz w:val="22"/>
          <w:szCs w:val="22"/>
          <w:u w:val="single"/>
        </w:rPr>
        <w:t xml:space="preserve">S4 — 3D digital twin visualisation is technically achievable in real time</w:t>
      </w:r>
    </w:p>
    <w:p>
      <w:pPr>
        <w:spacing w:after="160" w:line="276"/>
        <w:jc w:val="both"/>
      </w:pPr>
      <w:r>
        <w:rPr>
          <w:rFonts w:ascii="Arial" w:cs="Arial" w:eastAsia="Arial" w:hAnsi="Arial"/>
          <w:sz w:val="22"/>
          <w:szCs w:val="22"/>
        </w:rPr>
        <w:t xml:space="preserve">Pantelidakis et al. [W1] demonstrated a complete live 3D DT of an FDM printer synchronised via OctoPrint REST API, with extruder position error &lt; 2 mm and temperature error &lt; 1.5°C — confirming that </w:t>
      </w:r>
      <w:r>
        <w:rPr>
          <w:rFonts w:ascii="Arial" w:cs="Arial" w:eastAsia="Arial" w:hAnsi="Arial"/>
          <w:b/>
          <w:bCs/>
          <w:sz w:val="22"/>
          <w:szCs w:val="22"/>
        </w:rPr>
        <w:t xml:space="preserve">real-time kinematic synchronisation of a 3D virtual printer model is technically feasible</w:t>
      </w:r>
      <w:r>
        <w:rPr>
          <w:rFonts w:ascii="Arial" w:cs="Arial" w:eastAsia="Arial" w:hAnsi="Arial"/>
          <w:sz w:val="22"/>
          <w:szCs w:val="22"/>
        </w:rPr>
        <w:t xml:space="preserve">. Jyeniskhan et al. [W4] extended this with ML-based geometric defect detection integrated into a Unity 3D DT interface. Park et al. [W-MDPI-2024] demonstrated that browser-native WebGL/Three.js rendering can achieve sub-second MQTT-driven synchronisation without dedicated GPU hardware. These works collectively prove the viability of 3D DT visualisation as an operational tool, not merely a demonstration.</w:t>
      </w:r>
    </w:p>
    <w:p>
      <w:pPr>
        <w:spacing w:after="100" w:before="160"/>
      </w:pPr>
      <w:r>
        <w:rPr>
          <w:rFonts w:ascii="Arial" w:cs="Arial" w:eastAsia="Arial" w:hAnsi="Arial"/>
          <w:b/>
          <w:bCs/>
          <w:sz w:val="22"/>
          <w:szCs w:val="22"/>
          <w:u w:val="single"/>
        </w:rPr>
        <w:t xml:space="preserve">S5 — Autonomous closed-loop correction is achievable on embedded hardware</w:t>
      </w:r>
    </w:p>
    <w:p>
      <w:pPr>
        <w:spacing w:after="160" w:line="276"/>
        <w:jc w:val="both"/>
      </w:pPr>
      <w:r>
        <w:rPr>
          <w:rFonts w:ascii="Arial" w:cs="Arial" w:eastAsia="Arial" w:hAnsi="Arial"/>
          <w:sz w:val="22"/>
          <w:szCs w:val="22"/>
        </w:rPr>
        <w:t xml:space="preserve">Shomenov et al. [W3] represent the most operationally advanced system reviewed: an embedded-firmware predictive correction loop that autonomously compensates for layer shifts and flow anomalies in real time, with no human intervention required. This </w:t>
      </w:r>
      <w:r>
        <w:rPr>
          <w:rFonts w:ascii="Arial" w:cs="Arial" w:eastAsia="Arial" w:hAnsi="Arial"/>
          <w:b/>
          <w:bCs/>
          <w:sz w:val="22"/>
          <w:szCs w:val="22"/>
        </w:rPr>
        <w:t xml:space="preserve">closed-loop architecture</w:t>
      </w:r>
      <w:r>
        <w:rPr>
          <w:rFonts w:ascii="Arial" w:cs="Arial" w:eastAsia="Arial" w:hAnsi="Arial"/>
          <w:sz w:val="22"/>
          <w:szCs w:val="22"/>
        </w:rPr>
        <w:t xml:space="preserve"> — where the digital twin not only observes but actively corrects — represents the highest level of DT integration (Kritzinger Level 3 </w:t>
      </w:r>
      <w:r>
        <w:rPr>
          <w:rFonts w:ascii="Arial" w:cs="Arial" w:eastAsia="Arial" w:hAnsi="Arial"/>
          <w:b/>
          <w:bCs/>
          <w:sz w:val="22"/>
          <w:szCs w:val="22"/>
        </w:rPr>
        <w:t xml:space="preserve">[40]</w:t>
      </w:r>
      <w:r>
        <w:rPr>
          <w:rFonts w:ascii="Arial" w:cs="Arial" w:eastAsia="Arial" w:hAnsi="Arial"/>
          <w:sz w:val="22"/>
          <w:szCs w:val="22"/>
        </w:rPr>
        <w:t xml:space="preserve">) and demonstrates that such a system is achievable at low cost. While the present thesis does not implement autonomous correction (alerts are issued to the operator), [W3] confirms the technical roadmap for future extension.</w:t>
      </w:r>
    </w:p>
    <w:p>
      <w:pPr>
        <w:pStyle w:val="Heading3"/>
        <w:spacing w:after="140" w:before="240"/>
      </w:pPr>
      <w:r>
        <w:rPr>
          <w:rFonts w:ascii="Arial" w:cs="Arial" w:eastAsia="Arial" w:hAnsi="Arial"/>
          <w:b/>
          <w:bCs/>
          <w:sz w:val="24"/>
          <w:szCs w:val="24"/>
        </w:rPr>
        <w:t xml:space="preserve">1.6.2  Identified Limitations</w:t>
      </w:r>
    </w:p>
    <w:p>
      <w:pPr>
        <w:spacing w:after="160" w:line="276"/>
        <w:jc w:val="both"/>
      </w:pPr>
      <w:r>
        <w:rPr>
          <w:rFonts w:ascii="Arial" w:cs="Arial" w:eastAsia="Arial" w:hAnsi="Arial"/>
          <w:sz w:val="22"/>
          <w:szCs w:val="22"/>
        </w:rPr>
        <w:t xml:space="preserve">Despite the individual strengths documented above, the reviewed works exhibit a consistent and reproducible set of limitations that collectively define the research gap. These limitations are not incidental — they reflect </w:t>
      </w:r>
      <w:r>
        <w:rPr>
          <w:rFonts w:ascii="Arial" w:cs="Arial" w:eastAsia="Arial" w:hAnsi="Arial"/>
          <w:b/>
          <w:bCs/>
          <w:sz w:val="22"/>
          <w:szCs w:val="22"/>
        </w:rPr>
        <w:t xml:space="preserve">structural gaps in how the field has fragmented across sub-communities</w:t>
      </w:r>
      <w:r>
        <w:rPr>
          <w:rFonts w:ascii="Arial" w:cs="Arial" w:eastAsia="Arial" w:hAnsi="Arial"/>
          <w:sz w:val="22"/>
          <w:szCs w:val="22"/>
        </w:rPr>
        <w:t xml:space="preserve">: ML researchers focus on detection accuracy without building operational interfaces; visualisation researchers build 3D DTs without adding predictive intelligence; embedded-systems researchers build cost-effective hardware without integrating ML. The following limitations are ranked by their impact on the operational utility of the resulting systems.</w:t>
      </w:r>
    </w:p>
    <w:p>
      <w:pPr>
        <w:spacing w:after="100" w:before="160"/>
      </w:pPr>
      <w:r>
        <w:rPr>
          <w:rFonts w:ascii="Arial" w:cs="Arial" w:eastAsia="Arial" w:hAnsi="Arial"/>
          <w:b/>
          <w:bCs/>
          <w:sz w:val="22"/>
          <w:szCs w:val="22"/>
          <w:u w:val="single"/>
        </w:rPr>
        <w:t xml:space="preserve">L1 — Separation between visualisation and intelligence (the most critical gap)</w:t>
      </w:r>
    </w:p>
    <w:p>
      <w:pPr>
        <w:spacing w:after="160" w:line="276"/>
        <w:jc w:val="both"/>
      </w:pPr>
      <w:r>
        <w:rPr>
          <w:rFonts w:ascii="Arial" w:cs="Arial" w:eastAsia="Arial" w:hAnsi="Arial"/>
          <w:sz w:val="22"/>
          <w:szCs w:val="22"/>
        </w:rPr>
        <w:t xml:space="preserve">The most consequential structural limitation in the literature is the </w:t>
      </w:r>
      <w:r>
        <w:rPr>
          <w:rFonts w:ascii="Arial" w:cs="Arial" w:eastAsia="Arial" w:hAnsi="Arial"/>
          <w:b/>
          <w:bCs/>
          <w:sz w:val="22"/>
          <w:szCs w:val="22"/>
        </w:rPr>
        <w:t xml:space="preserve">complete separation between works that implement 3D DT visualisation and works that implement ML-based fault prediction</w:t>
      </w:r>
      <w:r>
        <w:rPr>
          <w:rFonts w:ascii="Arial" w:cs="Arial" w:eastAsia="Arial" w:hAnsi="Arial"/>
          <w:sz w:val="22"/>
          <w:szCs w:val="22"/>
        </w:rPr>
        <w:t xml:space="preserve">. Works with 3D DT interfaces [W1, W4] use no predictive ML: [W1] relies on telemetry mirroring without any classifier, and [W4] is limited to image-based geometric defect detection. Conversely, all ML-focused works [W2, W5, W6] provide no 3D DT model — only numerical outputs or static dashboards. A systematic review of 65 DT-for-AM studies by Botín-Sanabria et al. </w:t>
      </w:r>
      <w:r>
        <w:rPr>
          <w:rFonts w:ascii="Arial" w:cs="Arial" w:eastAsia="Arial" w:hAnsi="Arial"/>
          <w:b/>
          <w:bCs/>
          <w:sz w:val="22"/>
          <w:szCs w:val="22"/>
        </w:rPr>
        <w:t xml:space="preserve">[46]</w:t>
      </w:r>
      <w:r>
        <w:rPr>
          <w:rFonts w:ascii="Arial" w:cs="Arial" w:eastAsia="Arial" w:hAnsi="Arial"/>
          <w:sz w:val="22"/>
          <w:szCs w:val="22"/>
        </w:rPr>
        <w:t xml:space="preserve"> confirms this at the field level: the </w:t>
      </w:r>
      <w:r>
        <w:rPr>
          <w:rFonts w:ascii="Arial" w:cs="Arial" w:eastAsia="Arial" w:hAnsi="Arial"/>
          <w:b/>
          <w:bCs/>
          <w:sz w:val="22"/>
          <w:szCs w:val="22"/>
        </w:rPr>
        <w:t xml:space="preserve">integration of behavioural models (ML prediction) with geometric DT representations remains an open research challenge</w:t>
      </w:r>
      <w:r>
        <w:rPr>
          <w:rFonts w:ascii="Arial" w:cs="Arial" w:eastAsia="Arial" w:hAnsi="Arial"/>
          <w:sz w:val="22"/>
          <w:szCs w:val="22"/>
        </w:rPr>
        <w:t xml:space="preserve"> explicitly identified as a gap by the authors. The present thesis is positioned to close this gap by integrating a three-tier ML engine with a live Three.js 3D DT renderer.</w:t>
      </w:r>
    </w:p>
    <w:p>
      <w:pPr>
        <w:spacing w:after="100" w:before="160"/>
      </w:pPr>
      <w:r>
        <w:rPr>
          <w:rFonts w:ascii="Arial" w:cs="Arial" w:eastAsia="Arial" w:hAnsi="Arial"/>
          <w:b/>
          <w:bCs/>
          <w:sz w:val="22"/>
          <w:szCs w:val="22"/>
          <w:u w:val="single"/>
        </w:rPr>
        <w:t xml:space="preserve">L2 — Absence of multi-modal sensor fusion in most systems</w:t>
      </w:r>
    </w:p>
    <w:p>
      <w:pPr>
        <w:spacing w:after="160" w:line="276"/>
        <w:jc w:val="both"/>
      </w:pPr>
      <w:r>
        <w:rPr>
          <w:rFonts w:ascii="Arial" w:cs="Arial" w:eastAsia="Arial" w:hAnsi="Arial"/>
          <w:sz w:val="22"/>
          <w:szCs w:val="22"/>
        </w:rPr>
        <w:t xml:space="preserve">The majority of reviewed works rely on a </w:t>
      </w:r>
      <w:r>
        <w:rPr>
          <w:rFonts w:ascii="Arial" w:cs="Arial" w:eastAsia="Arial" w:hAnsi="Arial"/>
          <w:b/>
          <w:bCs/>
          <w:sz w:val="22"/>
          <w:szCs w:val="22"/>
        </w:rPr>
        <w:t xml:space="preserve">single sensor modality</w:t>
      </w:r>
      <w:r>
        <w:rPr>
          <w:rFonts w:ascii="Arial" w:cs="Arial" w:eastAsia="Arial" w:hAnsi="Arial"/>
          <w:sz w:val="22"/>
          <w:szCs w:val="22"/>
        </w:rPr>
        <w:t xml:space="preserve">: vibration alone [W2, W5, W6, W7], vision alone [W4], or thermal + current without vibration [W9]. Multi-modal fusion is demonstrated only in [W3] and [W8], but without a real-time DT interface or web deployment. Sampedro et al. [W8] explicitly demonstrate that </w:t>
      </w:r>
      <w:r>
        <w:rPr>
          <w:rFonts w:ascii="Arial" w:cs="Arial" w:eastAsia="Arial" w:hAnsi="Arial"/>
          <w:b/>
          <w:bCs/>
          <w:sz w:val="22"/>
          <w:szCs w:val="22"/>
        </w:rPr>
        <w:t xml:space="preserve">multi-modal fusion outperforms single-modality systems on fault localisation accuracy</w:t>
      </w:r>
      <w:r>
        <w:rPr>
          <w:rFonts w:ascii="Arial" w:cs="Arial" w:eastAsia="Arial" w:hAnsi="Arial"/>
          <w:sz w:val="22"/>
          <w:szCs w:val="22"/>
        </w:rPr>
        <w:t xml:space="preserve">, but their system remains offline. A 2024 systematic review of DT approaches in AM (65 papers, 2010–2024) </w:t>
      </w:r>
      <w:r>
        <w:rPr>
          <w:rFonts w:ascii="Arial" w:cs="Arial" w:eastAsia="Arial" w:hAnsi="Arial"/>
          <w:b/>
          <w:bCs/>
          <w:sz w:val="22"/>
          <w:szCs w:val="22"/>
        </w:rPr>
        <w:t xml:space="preserve">[47]</w:t>
      </w:r>
      <w:r>
        <w:rPr>
          <w:rFonts w:ascii="Arial" w:cs="Arial" w:eastAsia="Arial" w:hAnsi="Arial"/>
          <w:sz w:val="22"/>
          <w:szCs w:val="22"/>
        </w:rPr>
        <w:t xml:space="preserve"> identifies the </w:t>
      </w:r>
      <w:r>
        <w:rPr>
          <w:rFonts w:ascii="Arial" w:cs="Arial" w:eastAsia="Arial" w:hAnsi="Arial"/>
          <w:i/>
          <w:iCs/>
          <w:sz w:val="22"/>
          <w:szCs w:val="22"/>
        </w:rPr>
        <w:t xml:space="preserve">"non-standardised integration of sensors"</w:t>
      </w:r>
      <w:r>
        <w:rPr>
          <w:rFonts w:ascii="Arial" w:cs="Arial" w:eastAsia="Arial" w:hAnsi="Arial"/>
          <w:sz w:val="22"/>
          <w:szCs w:val="22"/>
        </w:rPr>
        <w:t xml:space="preserve"> and </w:t>
      </w:r>
      <w:r>
        <w:rPr>
          <w:rFonts w:ascii="Arial" w:cs="Arial" w:eastAsia="Arial" w:hAnsi="Arial"/>
          <w:i/>
          <w:iCs/>
          <w:sz w:val="22"/>
          <w:szCs w:val="22"/>
        </w:rPr>
        <w:t xml:space="preserve">"absence of multi-sensor data fusion frameworks"</w:t>
      </w:r>
      <w:r>
        <w:rPr>
          <w:rFonts w:ascii="Arial" w:cs="Arial" w:eastAsia="Arial" w:hAnsi="Arial"/>
          <w:sz w:val="22"/>
          <w:szCs w:val="22"/>
        </w:rPr>
        <w:t xml:space="preserve"> as primary technical gaps limiting PdM effectiveness in AM contexts. The present thesis addresses this with a fused pipeline combining MPU-6050 (vibration + gyroscope) and KY-013 (thermal) streams with OctoPrint firmware telemetry.</w:t>
      </w:r>
    </w:p>
    <w:p>
      <w:pPr>
        <w:spacing w:after="100" w:before="160"/>
      </w:pPr>
      <w:r>
        <w:rPr>
          <w:rFonts w:ascii="Arial" w:cs="Arial" w:eastAsia="Arial" w:hAnsi="Arial"/>
          <w:b/>
          <w:bCs/>
          <w:sz w:val="22"/>
          <w:szCs w:val="22"/>
          <w:u w:val="single"/>
        </w:rPr>
        <w:t xml:space="preserve">L3 — Offline or non-deployable systems</w:t>
      </w:r>
    </w:p>
    <w:p>
      <w:pPr>
        <w:spacing w:after="160" w:line="276"/>
        <w:jc w:val="both"/>
      </w:pPr>
      <w:r>
        <w:rPr>
          <w:rFonts w:ascii="Arial" w:cs="Arial" w:eastAsia="Arial" w:hAnsi="Arial"/>
          <w:sz w:val="22"/>
          <w:szCs w:val="22"/>
        </w:rPr>
        <w:t xml:space="preserve">A significant proportion of the highest-performing systems [W2, W5, W6] operate </w:t>
      </w:r>
      <w:r>
        <w:rPr>
          <w:rFonts w:ascii="Arial" w:cs="Arial" w:eastAsia="Arial" w:hAnsi="Arial"/>
          <w:b/>
          <w:bCs/>
          <w:sz w:val="22"/>
          <w:szCs w:val="22"/>
        </w:rPr>
        <w:t xml:space="preserve">entirely offline</w:t>
      </w:r>
      <w:r>
        <w:rPr>
          <w:rFonts w:ascii="Arial" w:cs="Arial" w:eastAsia="Arial" w:hAnsi="Arial"/>
          <w:sz w:val="22"/>
          <w:szCs w:val="22"/>
        </w:rPr>
        <w:t xml:space="preserve">: they train and evaluate ML models on pre-collected datasets without any real-time data pipeline or deployment-ready implementation. While this is appropriate for academic method validation, it produces systems that cannot be used operationally. Mishra et al. [W6] — despite achieving 97.17% LSTM accuracy — provide no MQTT broker, no dashboard, and no edge deployment. This limits the practical utility of their results and means that their accuracy figure cannot be directly compared to operational system performance. The present thesis is specifically designed to be deployment-ready: all ML inference runs on a Raspberry Pi 4, all sensor data flows through an MQTT broker, and all results are displayed on a live web dashboard.</w:t>
      </w:r>
    </w:p>
    <w:p>
      <w:pPr>
        <w:spacing w:after="100" w:before="160"/>
      </w:pPr>
      <w:r>
        <w:rPr>
          <w:rFonts w:ascii="Arial" w:cs="Arial" w:eastAsia="Arial" w:hAnsi="Arial"/>
          <w:b/>
          <w:bCs/>
          <w:sz w:val="22"/>
          <w:szCs w:val="22"/>
          <w:u w:val="single"/>
        </w:rPr>
        <w:t xml:space="preserve">L4 — Proprietary or high-cost software dependencies</w:t>
      </w:r>
    </w:p>
    <w:p>
      <w:pPr>
        <w:spacing w:after="160" w:line="276"/>
        <w:jc w:val="both"/>
      </w:pPr>
      <w:r>
        <w:rPr>
          <w:rFonts w:ascii="Arial" w:cs="Arial" w:eastAsia="Arial" w:hAnsi="Arial"/>
          <w:sz w:val="22"/>
          <w:szCs w:val="22"/>
        </w:rPr>
        <w:t xml:space="preserve">Both works that implement 3D DT visualisation [W1, W4] use </w:t>
      </w:r>
      <w:r>
        <w:rPr>
          <w:rFonts w:ascii="Arial" w:cs="Arial" w:eastAsia="Arial" w:hAnsi="Arial"/>
          <w:b/>
          <w:bCs/>
          <w:sz w:val="22"/>
          <w:szCs w:val="22"/>
        </w:rPr>
        <w:t xml:space="preserve">Unity 3D</w:t>
      </w:r>
      <w:r>
        <w:rPr>
          <w:rFonts w:ascii="Arial" w:cs="Arial" w:eastAsia="Arial" w:hAnsi="Arial"/>
          <w:sz w:val="22"/>
          <w:szCs w:val="22"/>
        </w:rPr>
        <w:t xml:space="preserve">, which requires a commercial licence for revenue-generating deployments, a dedicated GPU for real-time 3D rendering, and significant C# development expertise. This makes replication and extension difficult in academic settings and effectively excludes SMEs that cannot afford proprietary software licences. The broader DT literature confirms this: Botín-Sanabria et al. </w:t>
      </w:r>
      <w:r>
        <w:rPr>
          <w:rFonts w:ascii="Arial" w:cs="Arial" w:eastAsia="Arial" w:hAnsi="Arial"/>
          <w:b/>
          <w:bCs/>
          <w:sz w:val="22"/>
          <w:szCs w:val="22"/>
        </w:rPr>
        <w:t xml:space="preserve">[46]</w:t>
      </w:r>
      <w:r>
        <w:rPr>
          <w:rFonts w:ascii="Arial" w:cs="Arial" w:eastAsia="Arial" w:hAnsi="Arial"/>
          <w:sz w:val="22"/>
          <w:szCs w:val="22"/>
        </w:rPr>
        <w:t xml:space="preserve"> identify </w:t>
      </w:r>
      <w:r>
        <w:rPr>
          <w:rFonts w:ascii="Arial" w:cs="Arial" w:eastAsia="Arial" w:hAnsi="Arial"/>
          <w:i/>
          <w:iCs/>
          <w:sz w:val="22"/>
          <w:szCs w:val="22"/>
        </w:rPr>
        <w:t xml:space="preserve">"lack of standardised, open-source DT frameworks"</w:t>
      </w:r>
      <w:r>
        <w:rPr>
          <w:rFonts w:ascii="Arial" w:cs="Arial" w:eastAsia="Arial" w:hAnsi="Arial"/>
          <w:sz w:val="22"/>
          <w:szCs w:val="22"/>
        </w:rPr>
        <w:t xml:space="preserve"> as a key barrier to DT adoption in manufacturing. The present thesis replaces Unity with </w:t>
      </w:r>
      <w:r>
        <w:rPr>
          <w:rFonts w:ascii="Arial" w:cs="Arial" w:eastAsia="Arial" w:hAnsi="Arial"/>
          <w:b/>
          <w:bCs/>
          <w:sz w:val="22"/>
          <w:szCs w:val="22"/>
        </w:rPr>
        <w:t xml:space="preserve">Vite/React/Three.js</w:t>
      </w:r>
      <w:r>
        <w:rPr>
          <w:rFonts w:ascii="Arial" w:cs="Arial" w:eastAsia="Arial" w:hAnsi="Arial"/>
          <w:sz w:val="22"/>
          <w:szCs w:val="22"/>
        </w:rPr>
        <w:t xml:space="preserve"> — a fully open-source, browser-native 3D stack requiring no installation on the client side.</w:t>
      </w:r>
    </w:p>
    <w:p>
      <w:pPr>
        <w:spacing w:after="100" w:before="160"/>
      </w:pPr>
      <w:r>
        <w:rPr>
          <w:rFonts w:ascii="Arial" w:cs="Arial" w:eastAsia="Arial" w:hAnsi="Arial"/>
          <w:b/>
          <w:bCs/>
          <w:sz w:val="22"/>
          <w:szCs w:val="22"/>
          <w:u w:val="single"/>
        </w:rPr>
        <w:t xml:space="preserve">L5 — Single-printer, controlled-condition validation</w:t>
      </w:r>
    </w:p>
    <w:p>
      <w:pPr>
        <w:spacing w:after="160" w:line="276"/>
        <w:jc w:val="both"/>
      </w:pPr>
      <w:r>
        <w:rPr>
          <w:rFonts w:ascii="Arial" w:cs="Arial" w:eastAsia="Arial" w:hAnsi="Arial"/>
          <w:sz w:val="22"/>
          <w:szCs w:val="22"/>
        </w:rPr>
        <w:t xml:space="preserve">Every reviewed work validates its system on </w:t>
      </w:r>
      <w:r>
        <w:rPr>
          <w:rFonts w:ascii="Arial" w:cs="Arial" w:eastAsia="Arial" w:hAnsi="Arial"/>
          <w:b/>
          <w:bCs/>
          <w:sz w:val="22"/>
          <w:szCs w:val="22"/>
        </w:rPr>
        <w:t xml:space="preserve">a single printer model under controlled laboratory conditions</w:t>
      </w:r>
      <w:r>
        <w:rPr>
          <w:rFonts w:ascii="Arial" w:cs="Arial" w:eastAsia="Arial" w:hAnsi="Arial"/>
          <w:sz w:val="22"/>
          <w:szCs w:val="22"/>
        </w:rPr>
        <w:t xml:space="preserve"> with artificially induced faults. None address the challenge of deploying a DT on a </w:t>
      </w:r>
      <w:r>
        <w:rPr>
          <w:rFonts w:ascii="Arial" w:cs="Arial" w:eastAsia="Arial" w:hAnsi="Arial"/>
          <w:i/>
          <w:iCs/>
          <w:sz w:val="22"/>
          <w:szCs w:val="22"/>
        </w:rPr>
        <w:t xml:space="preserve">legacy machine</w:t>
      </w:r>
      <w:r>
        <w:rPr>
          <w:rFonts w:ascii="Arial" w:cs="Arial" w:eastAsia="Arial" w:hAnsi="Arial"/>
          <w:sz w:val="22"/>
          <w:szCs w:val="22"/>
        </w:rPr>
        <w:t xml:space="preserve"> — a printer already in service, with existing Marlin firmware, whose only available interface is a serial port and OctoPrint — without hardware modification. This is precisely the scenario targeted by the present thesis, which instruments a BCN3D+ printer using only externally attached sensors and the OctoPrint MQTT plugin, without modifying firmware or opening the printer's electronics. This real-world deployment constraint is more restrictive than any reviewed work and constitutes a contribution to reproducibility.</w:t>
      </w:r>
    </w:p>
    <w:p>
      <w:pPr>
        <w:spacing w:after="100" w:before="160"/>
      </w:pPr>
      <w:r>
        <w:rPr>
          <w:rFonts w:ascii="Arial" w:cs="Arial" w:eastAsia="Arial" w:hAnsi="Arial"/>
          <w:b/>
          <w:bCs/>
          <w:sz w:val="22"/>
          <w:szCs w:val="22"/>
          <w:u w:val="single"/>
        </w:rPr>
        <w:t xml:space="preserve">L6 — Limited historical failure data for ML training</w:t>
      </w:r>
    </w:p>
    <w:p>
      <w:pPr>
        <w:spacing w:after="160" w:line="276"/>
        <w:jc w:val="both"/>
      </w:pPr>
      <w:r>
        <w:rPr>
          <w:rFonts w:ascii="Arial" w:cs="Arial" w:eastAsia="Arial" w:hAnsi="Arial"/>
          <w:sz w:val="22"/>
          <w:szCs w:val="22"/>
        </w:rPr>
        <w:t xml:space="preserve">A cross-cutting limitation affecting all reviewed works is the </w:t>
      </w:r>
      <w:r>
        <w:rPr>
          <w:rFonts w:ascii="Arial" w:cs="Arial" w:eastAsia="Arial" w:hAnsi="Arial"/>
          <w:b/>
          <w:bCs/>
          <w:sz w:val="22"/>
          <w:szCs w:val="22"/>
        </w:rPr>
        <w:t xml:space="preserve">scarcity of labelled fault data</w:t>
      </w:r>
      <w:r>
        <w:rPr>
          <w:rFonts w:ascii="Arial" w:cs="Arial" w:eastAsia="Arial" w:hAnsi="Arial"/>
          <w:sz w:val="22"/>
          <w:szCs w:val="22"/>
        </w:rPr>
        <w:t xml:space="preserve"> for training ML classifiers. Kolok et al. [W7] explicitly attribute their 73% accuracy ceiling to limited training examples. Song and Telenko </w:t>
      </w:r>
      <w:r>
        <w:rPr>
          <w:rFonts w:ascii="Arial" w:cs="Arial" w:eastAsia="Arial" w:hAnsi="Arial"/>
          <w:b/>
          <w:bCs/>
          <w:sz w:val="22"/>
          <w:szCs w:val="22"/>
        </w:rPr>
        <w:t xml:space="preserve">[12]</w:t>
      </w:r>
      <w:r>
        <w:rPr>
          <w:rFonts w:ascii="Arial" w:cs="Arial" w:eastAsia="Arial" w:hAnsi="Arial"/>
          <w:sz w:val="22"/>
          <w:szCs w:val="22"/>
        </w:rPr>
        <w:t xml:space="preserve"> estimate that up to 34% of FDM prints fail in realistic conditions — yet collecting a statistically robust, labelled dataset of diverse fault types across multiple machines and materials remains an open challenge in the field. A 2025 systematic review of DT approaches in AM </w:t>
      </w:r>
      <w:r>
        <w:rPr>
          <w:rFonts w:ascii="Arial" w:cs="Arial" w:eastAsia="Arial" w:hAnsi="Arial"/>
          <w:b/>
          <w:bCs/>
          <w:sz w:val="22"/>
          <w:szCs w:val="22"/>
        </w:rPr>
        <w:t xml:space="preserve">[47]</w:t>
      </w:r>
      <w:r>
        <w:rPr>
          <w:rFonts w:ascii="Arial" w:cs="Arial" w:eastAsia="Arial" w:hAnsi="Arial"/>
          <w:sz w:val="22"/>
          <w:szCs w:val="22"/>
        </w:rPr>
        <w:t xml:space="preserve"> identifies </w:t>
      </w:r>
      <w:r>
        <w:rPr>
          <w:rFonts w:ascii="Arial" w:cs="Arial" w:eastAsia="Arial" w:hAnsi="Arial"/>
          <w:i/>
          <w:iCs/>
          <w:sz w:val="22"/>
          <w:szCs w:val="22"/>
        </w:rPr>
        <w:t xml:space="preserve">"data collection and processing under real-time requirements"</w:t>
      </w:r>
      <w:r>
        <w:rPr>
          <w:rFonts w:ascii="Arial" w:cs="Arial" w:eastAsia="Arial" w:hAnsi="Arial"/>
          <w:sz w:val="22"/>
          <w:szCs w:val="22"/>
        </w:rPr>
        <w:t xml:space="preserve"> as the leading technical challenge, citing insufficient high-fidelity labelled datasets as the primary reason ML models in AM-DT contexts underperform relative to benchmark laboratory results. The present thesis mitigates this through the three-tier incremental architecture: rule-based Tier 0 operates without any training data, classical ML Tier 1 bootstraps from a small initial dataset, and deep learning Tier 2 accumulates labelled examples from Tier 0/1 outputs over time.</w:t>
      </w:r>
    </w:p>
    <w:p>
      <w:pPr>
        <w:pStyle w:val="Heading3"/>
        <w:spacing w:after="140" w:before="240"/>
      </w:pPr>
      <w:r>
        <w:rPr>
          <w:rFonts w:ascii="Arial" w:cs="Arial" w:eastAsia="Arial" w:hAnsi="Arial"/>
          <w:b/>
          <w:bCs/>
          <w:sz w:val="24"/>
          <w:szCs w:val="24"/>
        </w:rPr>
        <w:t xml:space="preserve">1.6.3  Uncovered Needs</w:t>
      </w:r>
    </w:p>
    <w:p>
      <w:pPr>
        <w:spacing w:after="160" w:line="276"/>
        <w:jc w:val="both"/>
      </w:pPr>
      <w:r>
        <w:rPr>
          <w:rFonts w:ascii="Arial" w:cs="Arial" w:eastAsia="Arial" w:hAnsi="Arial"/>
          <w:sz w:val="22"/>
          <w:szCs w:val="22"/>
        </w:rPr>
        <w:t xml:space="preserve">Beyond the limitations of individual reviewed works, the comparative analysis — corroborated by two systematic reviews of the DT-for-AM field </w:t>
      </w:r>
      <w:r>
        <w:rPr>
          <w:rFonts w:ascii="Arial" w:cs="Arial" w:eastAsia="Arial" w:hAnsi="Arial"/>
          <w:b/>
          <w:bCs/>
          <w:sz w:val="22"/>
          <w:szCs w:val="22"/>
        </w:rPr>
        <w:t xml:space="preserve">[46][47]</w:t>
      </w:r>
      <w:r>
        <w:rPr>
          <w:rFonts w:ascii="Arial" w:cs="Arial" w:eastAsia="Arial" w:hAnsi="Arial"/>
          <w:sz w:val="22"/>
          <w:szCs w:val="22"/>
        </w:rPr>
        <w:t xml:space="preserve"> — reveals needs that are </w:t>
      </w:r>
      <w:r>
        <w:rPr>
          <w:rFonts w:ascii="Arial" w:cs="Arial" w:eastAsia="Arial" w:hAnsi="Arial"/>
          <w:b/>
          <w:bCs/>
          <w:sz w:val="22"/>
          <w:szCs w:val="22"/>
        </w:rPr>
        <w:t xml:space="preserve">not addressed by any existing published work</w:t>
      </w:r>
      <w:r>
        <w:rPr>
          <w:rFonts w:ascii="Arial" w:cs="Arial" w:eastAsia="Arial" w:hAnsi="Arial"/>
          <w:sz w:val="22"/>
          <w:szCs w:val="22"/>
        </w:rPr>
        <w:t xml:space="preserve">. These are genuinely uncovered needs rather than merely underexplored areas.</w:t>
      </w:r>
    </w:p>
    <w:p>
      <w:pPr>
        <w:spacing w:after="100" w:before="160"/>
      </w:pPr>
      <w:r>
        <w:rPr>
          <w:rFonts w:ascii="Arial" w:cs="Arial" w:eastAsia="Arial" w:hAnsi="Arial"/>
          <w:b/>
          <w:bCs/>
          <w:sz w:val="22"/>
          <w:szCs w:val="22"/>
          <w:u w:val="single"/>
        </w:rPr>
        <w:t xml:space="preserve">N1 — A unified, open-source system combining 3D DT visualisation, multi-tier ML, and low-cost edge hardware</w:t>
      </w:r>
    </w:p>
    <w:p>
      <w:pPr>
        <w:spacing w:after="160" w:line="276"/>
        <w:jc w:val="both"/>
      </w:pPr>
      <w:r>
        <w:rPr>
          <w:rFonts w:ascii="Arial" w:cs="Arial" w:eastAsia="Arial" w:hAnsi="Arial"/>
          <w:sz w:val="22"/>
          <w:szCs w:val="22"/>
        </w:rPr>
        <w:t xml:space="preserve">As demonstrated by Table 1.5, </w:t>
      </w:r>
      <w:r>
        <w:rPr>
          <w:rFonts w:ascii="Arial" w:cs="Arial" w:eastAsia="Arial" w:hAnsi="Arial"/>
          <w:b/>
          <w:bCs/>
          <w:sz w:val="22"/>
          <w:szCs w:val="22"/>
        </w:rPr>
        <w:t xml:space="preserve">no single reviewed work achieves both a live 3D DT visualisation AND multi-modal ML-based fault prediction AND low-cost open-source edge deployment simultaneously</w:t>
      </w:r>
      <w:r>
        <w:rPr>
          <w:rFonts w:ascii="Arial" w:cs="Arial" w:eastAsia="Arial" w:hAnsi="Arial"/>
          <w:sz w:val="22"/>
          <w:szCs w:val="22"/>
        </w:rPr>
        <w:t xml:space="preserve">. Works achieve at most two of these three simultaneously (e.g., [W3] achieves low-cost + some ML + edge, but no 3D DT; [W1] achieves 3D DT + real-time, but no ML). The field has produced these capabilities in parallel, never in integration. This is the primary uncovered need addressed by the present thesis.</w:t>
      </w:r>
    </w:p>
    <w:p>
      <w:pPr>
        <w:spacing w:after="100" w:before="160"/>
      </w:pPr>
      <w:r>
        <w:rPr>
          <w:rFonts w:ascii="Arial" w:cs="Arial" w:eastAsia="Arial" w:hAnsi="Arial"/>
          <w:b/>
          <w:bCs/>
          <w:sz w:val="22"/>
          <w:szCs w:val="22"/>
          <w:u w:val="single"/>
        </w:rPr>
        <w:t xml:space="preserve">N2 — Web-native, installation-free DT interfaces for desktop manufacturing</w:t>
      </w:r>
    </w:p>
    <w:p>
      <w:pPr>
        <w:spacing w:after="160" w:line="276"/>
        <w:jc w:val="both"/>
      </w:pPr>
      <w:r>
        <w:rPr>
          <w:rFonts w:ascii="Arial" w:cs="Arial" w:eastAsia="Arial" w:hAnsi="Arial"/>
          <w:sz w:val="22"/>
          <w:szCs w:val="22"/>
        </w:rPr>
        <w:t xml:space="preserve">No reviewed work delivers a DT interface through a </w:t>
      </w:r>
      <w:r>
        <w:rPr>
          <w:rFonts w:ascii="Arial" w:cs="Arial" w:eastAsia="Arial" w:hAnsi="Arial"/>
          <w:b/>
          <w:bCs/>
          <w:sz w:val="22"/>
          <w:szCs w:val="22"/>
        </w:rPr>
        <w:t xml:space="preserve">standard web browser with zero client-side installation</w:t>
      </w:r>
      <w:r>
        <w:rPr>
          <w:rFonts w:ascii="Arial" w:cs="Arial" w:eastAsia="Arial" w:hAnsi="Arial"/>
          <w:sz w:val="22"/>
          <w:szCs w:val="22"/>
        </w:rPr>
        <w:t xml:space="preserve">. All implementations require desktop software (Unity [W1, W4]) or a local Python environment [W2, W5, W6]. For operators in educational institutions, makerspaces, or SMEs without dedicated IT infrastructure, browser-native deployment is a critical accessibility requirement. The WebGL/Three.js approach adopted in this thesis — where the operator opens a URL and immediately sees the live 3D printer model with sensor overlays — fills this need without requiring any installation beyond a browser.</w:t>
      </w:r>
    </w:p>
    <w:p>
      <w:pPr>
        <w:spacing w:after="100" w:before="160"/>
      </w:pPr>
      <w:r>
        <w:rPr>
          <w:rFonts w:ascii="Arial" w:cs="Arial" w:eastAsia="Arial" w:hAnsi="Arial"/>
          <w:b/>
          <w:bCs/>
          <w:sz w:val="22"/>
          <w:szCs w:val="22"/>
          <w:u w:val="single"/>
        </w:rPr>
        <w:t xml:space="preserve">N3 — Self-bootstrapping ML architectures for limited-data environments</w:t>
      </w:r>
    </w:p>
    <w:p>
      <w:pPr>
        <w:spacing w:after="160" w:line="276"/>
        <w:jc w:val="both"/>
      </w:pPr>
      <w:r>
        <w:rPr>
          <w:rFonts w:ascii="Arial" w:cs="Arial" w:eastAsia="Arial" w:hAnsi="Arial"/>
          <w:sz w:val="22"/>
          <w:szCs w:val="22"/>
        </w:rPr>
        <w:t xml:space="preserve">The reliance of existing ML-focused works on pre-existing labelled datasets [W2, W5, W6] makes them inapplicable to new printer deployments where no historical fault data exists. No reviewed work addresses the </w:t>
      </w:r>
      <w:r>
        <w:rPr>
          <w:rFonts w:ascii="Arial" w:cs="Arial" w:eastAsia="Arial" w:hAnsi="Arial"/>
          <w:b/>
          <w:bCs/>
          <w:sz w:val="22"/>
          <w:szCs w:val="22"/>
        </w:rPr>
        <w:t xml:space="preserve">cold-start problem</w:t>
      </w:r>
      <w:r>
        <w:rPr>
          <w:rFonts w:ascii="Arial" w:cs="Arial" w:eastAsia="Arial" w:hAnsi="Arial"/>
          <w:sz w:val="22"/>
          <w:szCs w:val="22"/>
        </w:rPr>
        <w:t xml:space="preserve"> — how to provide meaningful fault detection on a new printer from day one, before any fault events have been recorded. The three-tier architecture of the present thesis addresses this by using deterministic Tier 0 rules for immediate deployment, generating labelled events that progressively train Tier 1 and Tier 2 classifiers. This self-bootstrapping approach is an uncovered need identified by the </w:t>
      </w:r>
      <w:r>
        <w:rPr>
          <w:rFonts w:ascii="Arial" w:cs="Arial" w:eastAsia="Arial" w:hAnsi="Arial"/>
          <w:b/>
          <w:bCs/>
          <w:sz w:val="22"/>
          <w:szCs w:val="22"/>
        </w:rPr>
        <w:t xml:space="preserve">2024 systematic review</w:t>
      </w:r>
      <w:r>
        <w:rPr>
          <w:rFonts w:ascii="Arial" w:cs="Arial" w:eastAsia="Arial" w:hAnsi="Arial"/>
          <w:sz w:val="22"/>
          <w:szCs w:val="22"/>
        </w:rPr>
        <w:t xml:space="preserve"> of 65 DT-for-AM studies, which notes the absence of incremental or online learning strategies in current implementations </w:t>
      </w:r>
      <w:r>
        <w:rPr>
          <w:rFonts w:ascii="Arial" w:cs="Arial" w:eastAsia="Arial" w:hAnsi="Arial"/>
          <w:b/>
          <w:bCs/>
          <w:sz w:val="22"/>
          <w:szCs w:val="22"/>
        </w:rPr>
        <w:t xml:space="preserve">[47]</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N4 — Legacy machine compatibility without firmware modification</w:t>
      </w:r>
    </w:p>
    <w:p>
      <w:pPr>
        <w:spacing w:after="160" w:line="276"/>
        <w:jc w:val="both"/>
      </w:pPr>
      <w:r>
        <w:rPr>
          <w:rFonts w:ascii="Arial" w:cs="Arial" w:eastAsia="Arial" w:hAnsi="Arial"/>
          <w:sz w:val="22"/>
          <w:szCs w:val="22"/>
        </w:rPr>
        <w:t xml:space="preserve">Every reviewed work either uses a commercially available printer with a well-documented API [W1, W4] or a custom-modified printer with embedded firmware changes [W3]. None address the </w:t>
      </w:r>
      <w:r>
        <w:rPr>
          <w:rFonts w:ascii="Arial" w:cs="Arial" w:eastAsia="Arial" w:hAnsi="Arial"/>
          <w:b/>
          <w:bCs/>
          <w:sz w:val="22"/>
          <w:szCs w:val="22"/>
        </w:rPr>
        <w:t xml:space="preserve">retrofit scenario</w:t>
      </w:r>
      <w:r>
        <w:rPr>
          <w:rFonts w:ascii="Arial" w:cs="Arial" w:eastAsia="Arial" w:hAnsi="Arial"/>
          <w:sz w:val="22"/>
          <w:szCs w:val="22"/>
        </w:rPr>
        <w:t xml:space="preserve"> — instrumenting a legacy FDM printer that is already in service, running unmodified Marlin firmware, using only its existing serial/USB interface and externally attached sensors. This is the most common real-world deployment scenario for SMEs and universities that have existing printer fleets they cannot modify. The present thesis targets this scenario explicitly, using OctoPrint as a non-invasive firmware bridge and externally attached sensors requiring no hardware modification to the printer itself.</w:t>
      </w:r>
    </w:p>
    <w:p>
      <w:pPr>
        <w:pStyle w:val="Heading3"/>
        <w:spacing w:after="140" w:before="240"/>
      </w:pPr>
      <w:r>
        <w:rPr>
          <w:rFonts w:ascii="Arial" w:cs="Arial" w:eastAsia="Arial" w:hAnsi="Arial"/>
          <w:b/>
          <w:bCs/>
          <w:sz w:val="24"/>
          <w:szCs w:val="24"/>
        </w:rPr>
        <w:t xml:space="preserve">1.6.4  Improvement Opportunities</w:t>
      </w:r>
    </w:p>
    <w:p>
      <w:pPr>
        <w:spacing w:after="160" w:line="276"/>
        <w:jc w:val="both"/>
      </w:pPr>
      <w:r>
        <w:rPr>
          <w:rFonts w:ascii="Arial" w:cs="Arial" w:eastAsia="Arial" w:hAnsi="Arial"/>
          <w:sz w:val="22"/>
          <w:szCs w:val="22"/>
        </w:rPr>
        <w:t xml:space="preserve">The limitations and uncovered needs documented above translate directly into </w:t>
      </w:r>
      <w:r>
        <w:rPr>
          <w:rFonts w:ascii="Arial" w:cs="Arial" w:eastAsia="Arial" w:hAnsi="Arial"/>
          <w:b/>
          <w:bCs/>
          <w:sz w:val="22"/>
          <w:szCs w:val="22"/>
        </w:rPr>
        <w:t xml:space="preserve">concrete, actionable improvement opportunities</w:t>
      </w:r>
      <w:r>
        <w:rPr>
          <w:rFonts w:ascii="Arial" w:cs="Arial" w:eastAsia="Arial" w:hAnsi="Arial"/>
          <w:sz w:val="22"/>
          <w:szCs w:val="22"/>
        </w:rPr>
        <w:t xml:space="preserve">. Each opportunity corresponds to a specific design decision in the present thesis and is supported by evidence from the reviewed literature. Together, they constitute the technical rationale for the proposed system's architecture.</w:t>
      </w:r>
    </w:p>
    <w:p>
      <w:pPr>
        <w:spacing w:after="100" w:before="160"/>
      </w:pPr>
      <w:r>
        <w:rPr>
          <w:rFonts w:ascii="Arial" w:cs="Arial" w:eastAsia="Arial" w:hAnsi="Arial"/>
          <w:b/>
          <w:bCs/>
          <w:sz w:val="22"/>
          <w:szCs w:val="22"/>
          <w:u w:val="single"/>
        </w:rPr>
        <w:t xml:space="preserve">O1 — Integrate 3D DT visualisation with ML prediction in a single system</w:t>
      </w:r>
    </w:p>
    <w:p>
      <w:pPr>
        <w:spacing w:after="160" w:line="276"/>
        <w:jc w:val="both"/>
      </w:pPr>
      <w:r>
        <w:rPr>
          <w:rFonts w:ascii="Arial" w:cs="Arial" w:eastAsia="Arial" w:hAnsi="Arial"/>
          <w:sz w:val="22"/>
          <w:szCs w:val="22"/>
        </w:rPr>
        <w:t xml:space="preserve">The most impactful improvement available to the field is the </w:t>
      </w:r>
      <w:r>
        <w:rPr>
          <w:rFonts w:ascii="Arial" w:cs="Arial" w:eastAsia="Arial" w:hAnsi="Arial"/>
          <w:b/>
          <w:bCs/>
          <w:sz w:val="22"/>
          <w:szCs w:val="22"/>
        </w:rPr>
        <w:t xml:space="preserve">integration of a live 3D digital twin renderer with a multi-tier ML prediction pipeline</w:t>
      </w:r>
      <w:r>
        <w:rPr>
          <w:rFonts w:ascii="Arial" w:cs="Arial" w:eastAsia="Arial" w:hAnsi="Arial"/>
          <w:sz w:val="22"/>
          <w:szCs w:val="22"/>
        </w:rPr>
        <w:t xml:space="preserve">. The technology for each component exists and has been validated independently: Three.js provides browser-native 3D rendering [W-MDPI-2024], LSTM networks provide 97%+ fault detection accuracy [W6], and MQTT provides low-latency bidirectional communication [W1, W9]. The opportunity is to combine these into a coherent, deployed system. This is the central architectural contribution of the present thesis: a </w:t>
      </w:r>
      <w:r>
        <w:rPr>
          <w:rFonts w:ascii="Arial" w:cs="Arial" w:eastAsia="Arial" w:hAnsi="Arial"/>
          <w:b/>
          <w:bCs/>
          <w:sz w:val="22"/>
          <w:szCs w:val="22"/>
        </w:rPr>
        <w:t xml:space="preserve">Vite/React/Three.js dashboard that renders a live 3D model of the printer, overlaid with real-time sensor values and ML alert annotations</w:t>
      </w:r>
      <w:r>
        <w:rPr>
          <w:rFonts w:ascii="Arial" w:cs="Arial" w:eastAsia="Arial" w:hAnsi="Arial"/>
          <w:sz w:val="22"/>
          <w:szCs w:val="22"/>
        </w:rPr>
        <w:t xml:space="preserve">, all updated via WebSocket from the Python ML backend.</w:t>
      </w:r>
    </w:p>
    <w:p>
      <w:pPr>
        <w:spacing w:after="100" w:before="160"/>
      </w:pPr>
      <w:r>
        <w:rPr>
          <w:rFonts w:ascii="Arial" w:cs="Arial" w:eastAsia="Arial" w:hAnsi="Arial"/>
          <w:b/>
          <w:bCs/>
          <w:sz w:val="22"/>
          <w:szCs w:val="22"/>
          <w:u w:val="single"/>
        </w:rPr>
        <w:t xml:space="preserve">O2 — Replace proprietary Unity with open-source WebGL (Three.js) for DT visualisation</w:t>
      </w:r>
    </w:p>
    <w:p>
      <w:pPr>
        <w:spacing w:after="160" w:line="276"/>
        <w:jc w:val="both"/>
      </w:pPr>
      <w:r>
        <w:rPr>
          <w:rFonts w:ascii="Arial" w:cs="Arial" w:eastAsia="Arial" w:hAnsi="Arial"/>
          <w:sz w:val="22"/>
          <w:szCs w:val="22"/>
        </w:rPr>
        <w:t xml:space="preserve">The dependency of existing 3D DT implementations [W1, W4] on Unity 3D can be directly replaced by </w:t>
      </w:r>
      <w:r>
        <w:rPr>
          <w:rFonts w:ascii="Arial" w:cs="Arial" w:eastAsia="Arial" w:hAnsi="Arial"/>
          <w:b/>
          <w:bCs/>
          <w:sz w:val="22"/>
          <w:szCs w:val="22"/>
        </w:rPr>
        <w:t xml:space="preserve">Three.js</w:t>
      </w:r>
      <w:r>
        <w:rPr>
          <w:rFonts w:ascii="Arial" w:cs="Arial" w:eastAsia="Arial" w:hAnsi="Arial"/>
          <w:sz w:val="22"/>
          <w:szCs w:val="22"/>
        </w:rPr>
        <w:t xml:space="preserve"> — a mature, MIT-licensed, browser-native 3D rendering library with active maintenance and strong community support. Park et al. [W-MDPI-2024] have already demonstrated that MQTT-synchronised Three.js scenes can achieve sub-second update latency for factory-scale DTs. Adopting this approach eliminates licence costs, GPU hardware requirements, and installation barriers simultaneously. It also enables the system to run on any device with a modern browser — including tablets and phones accessible to machine operators on the production floor.</w:t>
      </w:r>
    </w:p>
    <w:p>
      <w:pPr>
        <w:spacing w:after="100" w:before="160"/>
      </w:pPr>
      <w:r>
        <w:rPr>
          <w:rFonts w:ascii="Arial" w:cs="Arial" w:eastAsia="Arial" w:hAnsi="Arial"/>
          <w:b/>
          <w:bCs/>
          <w:sz w:val="22"/>
          <w:szCs w:val="22"/>
          <w:u w:val="single"/>
        </w:rPr>
        <w:t xml:space="preserve">O3 — Adopt a three-tier hybrid ML architecture to address the cold-start and accuracy trade-off</w:t>
      </w:r>
    </w:p>
    <w:p>
      <w:pPr>
        <w:spacing w:after="160" w:line="276"/>
        <w:jc w:val="both"/>
      </w:pPr>
      <w:r>
        <w:rPr>
          <w:rFonts w:ascii="Arial" w:cs="Arial" w:eastAsia="Arial" w:hAnsi="Arial"/>
          <w:sz w:val="22"/>
          <w:szCs w:val="22"/>
        </w:rPr>
        <w:t xml:space="preserve">The reviewed works present a forced choice: either use rule-based thresholds (immediately deployable, low accuracy) or use deep learning (high accuracy, requires large labelled datasets). The </w:t>
      </w:r>
      <w:r>
        <w:rPr>
          <w:rFonts w:ascii="Arial" w:cs="Arial" w:eastAsia="Arial" w:hAnsi="Arial"/>
          <w:b/>
          <w:bCs/>
          <w:sz w:val="22"/>
          <w:szCs w:val="22"/>
        </w:rPr>
        <w:t xml:space="preserve">three-tier hybrid architecture</w:t>
      </w:r>
      <w:r>
        <w:rPr>
          <w:rFonts w:ascii="Arial" w:cs="Arial" w:eastAsia="Arial" w:hAnsi="Arial"/>
          <w:sz w:val="22"/>
          <w:szCs w:val="22"/>
        </w:rPr>
        <w:t xml:space="preserve"> adopted in the present thesis resolves this trade-off by combining both approaches in a layered pipeline: Tier 0 (deterministic rules) provides immediate coverage from day one; Tier 1 (SVM/Random Forest on RMS + FFT features) provides improved accuracy as soon as a small initial dataset is available; Tier 2 (LSTM ensemble on sliding windows) provides the highest accuracy after sufficient temporal data has been collected. Weighted voting across tiers produces a calibrated confidence score. This architecture directly responds to the data-scarcity limitation identified in [W7] and by the systematic review </w:t>
      </w:r>
      <w:r>
        <w:rPr>
          <w:rFonts w:ascii="Arial" w:cs="Arial" w:eastAsia="Arial" w:hAnsi="Arial"/>
          <w:b/>
          <w:bCs/>
          <w:sz w:val="22"/>
          <w:szCs w:val="22"/>
        </w:rPr>
        <w:t xml:space="preserve">[47]</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O4 — Implement multi-modal sensor fusion to improve fault coverage and reduce false positives</w:t>
      </w:r>
    </w:p>
    <w:p>
      <w:pPr>
        <w:spacing w:after="160" w:line="276"/>
        <w:jc w:val="both"/>
      </w:pPr>
      <w:r>
        <w:rPr>
          <w:rFonts w:ascii="Arial" w:cs="Arial" w:eastAsia="Arial" w:hAnsi="Arial"/>
          <w:sz w:val="22"/>
          <w:szCs w:val="22"/>
        </w:rPr>
        <w:t xml:space="preserve">The strong result of Sampedro et al. [W8] — that multi-modal fusion outperforms single-modality systems — combined with the multi-signal AND-gate fusion rules demonstrated in the present thesis's plan (vibration RMS + Hall sensor proxy + filament motion) — establishes a clear improvement opportunity over single-sensor works [W2, W5, W6, W9]. Specifically, combining </w:t>
      </w:r>
      <w:r>
        <w:rPr>
          <w:rFonts w:ascii="Arial" w:cs="Arial" w:eastAsia="Arial" w:hAnsi="Arial"/>
          <w:b/>
          <w:bCs/>
          <w:sz w:val="22"/>
          <w:szCs w:val="22"/>
        </w:rPr>
        <w:t xml:space="preserve">vibration (MPU-6050)</w:t>
      </w:r>
      <w:r>
        <w:rPr>
          <w:rFonts w:ascii="Arial" w:cs="Arial" w:eastAsia="Arial" w:hAnsi="Arial"/>
          <w:sz w:val="22"/>
          <w:szCs w:val="22"/>
        </w:rPr>
        <w:t xml:space="preserve">, </w:t>
      </w:r>
      <w:r>
        <w:rPr>
          <w:rFonts w:ascii="Arial" w:cs="Arial" w:eastAsia="Arial" w:hAnsi="Arial"/>
          <w:b/>
          <w:bCs/>
          <w:sz w:val="22"/>
          <w:szCs w:val="22"/>
        </w:rPr>
        <w:t xml:space="preserve">thermal (KY-013)</w:t>
      </w:r>
      <w:r>
        <w:rPr>
          <w:rFonts w:ascii="Arial" w:cs="Arial" w:eastAsia="Arial" w:hAnsi="Arial"/>
          <w:sz w:val="22"/>
          <w:szCs w:val="22"/>
        </w:rPr>
        <w:t xml:space="preserve">, and </w:t>
      </w:r>
      <w:r>
        <w:rPr>
          <w:rFonts w:ascii="Arial" w:cs="Arial" w:eastAsia="Arial" w:hAnsi="Arial"/>
          <w:b/>
          <w:bCs/>
          <w:sz w:val="22"/>
          <w:szCs w:val="22"/>
        </w:rPr>
        <w:t xml:space="preserve">firmware telemetry (OctoPrint MQTT)</w:t>
      </w:r>
      <w:r>
        <w:rPr>
          <w:rFonts w:ascii="Arial" w:cs="Arial" w:eastAsia="Arial" w:hAnsi="Arial"/>
          <w:sz w:val="22"/>
          <w:szCs w:val="22"/>
        </w:rPr>
        <w:t xml:space="preserve"> addresses nozzle clogging (vibration + motor load), heat creep (thermal + vibration), and motion faults (firmware step count + vibration) simultaneously — no single sensor covers all three fault classes. The fusion approach also reduces false positive rates by requiring agreement across modalities before raising an alert.</w:t>
      </w:r>
    </w:p>
    <w:p>
      <w:pPr>
        <w:spacing w:after="100" w:before="160"/>
      </w:pPr>
      <w:r>
        <w:rPr>
          <w:rFonts w:ascii="Arial" w:cs="Arial" w:eastAsia="Arial" w:hAnsi="Arial"/>
          <w:b/>
          <w:bCs/>
          <w:sz w:val="22"/>
          <w:szCs w:val="22"/>
          <w:u w:val="single"/>
        </w:rPr>
        <w:t xml:space="preserve">O5 — Target the low-cost, open-source ecosystem to maximise reproducibility</w:t>
      </w:r>
    </w:p>
    <w:p>
      <w:pPr>
        <w:spacing w:after="160" w:line="276"/>
        <w:jc w:val="both"/>
      </w:pPr>
      <w:r>
        <w:rPr>
          <w:rFonts w:ascii="Arial" w:cs="Arial" w:eastAsia="Arial" w:hAnsi="Arial"/>
          <w:sz w:val="22"/>
          <w:szCs w:val="22"/>
        </w:rPr>
        <w:t xml:space="preserve">A persistent limitation across the reviewed works is the </w:t>
      </w:r>
      <w:r>
        <w:rPr>
          <w:rFonts w:ascii="Arial" w:cs="Arial" w:eastAsia="Arial" w:hAnsi="Arial"/>
          <w:b/>
          <w:bCs/>
          <w:sz w:val="22"/>
          <w:szCs w:val="22"/>
        </w:rPr>
        <w:t xml:space="preserve">difficulty of independent replication</w:t>
      </w:r>
      <w:r>
        <w:rPr>
          <w:rFonts w:ascii="Arial" w:cs="Arial" w:eastAsia="Arial" w:hAnsi="Arial"/>
          <w:sz w:val="22"/>
          <w:szCs w:val="22"/>
        </w:rPr>
        <w:t xml:space="preserve">: Unity licences, acoustic emission sensors (&gt; €200 per unit), and closed firmware platforms create barriers to verification. The full open-source hardware and software stack adopted in this thesis — ESP32 (&lt; €5), MPU-6050 (&lt; €3), KY-013 (&lt; €2), Raspberry Pi 4 (&lt; €40), with firmware in C++/Arduino, backend in Python, and frontend in Vite/React/Three.js — is entirely reproducible from this thesis document alone. Total sensor cost is under €50. This commitment to reproducibility aligns with the open-science direction explicitly called for in the systematic review of DT-for-AM </w:t>
      </w:r>
      <w:r>
        <w:rPr>
          <w:rFonts w:ascii="Arial" w:cs="Arial" w:eastAsia="Arial" w:hAnsi="Arial"/>
          <w:b/>
          <w:bCs/>
          <w:sz w:val="22"/>
          <w:szCs w:val="22"/>
        </w:rPr>
        <w:t xml:space="preserve">[46]</w:t>
      </w:r>
      <w:r>
        <w:rPr>
          <w:rFonts w:ascii="Arial" w:cs="Arial" w:eastAsia="Arial" w:hAnsi="Arial"/>
          <w:sz w:val="22"/>
          <w:szCs w:val="22"/>
        </w:rPr>
        <w:t xml:space="preserve">, which identifies the absence of open, replicable reference implementations as a key barrier to field progress.</w:t>
      </w:r>
    </w:p>
    <w:p>
      <w:pPr>
        <w:spacing w:after="160" w:line="276"/>
        <w:jc w:val="both"/>
      </w:pPr>
      <w:r>
        <w:rPr>
          <w:rFonts w:ascii="Arial" w:cs="Arial" w:eastAsia="Arial" w:hAnsi="Arial"/>
          <w:sz w:val="22"/>
          <w:szCs w:val="22"/>
        </w:rPr>
        <w:t xml:space="preserve">The five improvement opportunities above — integration, open-source visualisation, hybrid ML, multi-modal fusion, and reproducible open-source hardware — collectively define the design space of the present thesis. Section 1.7 will now make explicit how this thesis is positioned within this space and articulate the added value of the proposed solution relative to the state of the art.</w:t>
      </w:r>
    </w:p>
    <w:p>
      <w:pPr>
        <w:pBdr>
          <w:bottom w:val="single" w:color="AAAAAA" w:sz="4" w:space="1"/>
        </w:pBdr>
        <w:spacing w:after="160" w:before="160"/>
      </w:pPr>
    </w:p>
    <w:p>
      <w:pPr>
        <w:pStyle w:val="Heading2"/>
        <w:spacing w:after="180" w:before="320"/>
      </w:pPr>
      <w:r>
        <w:rPr>
          <w:rFonts w:ascii="Arial" w:cs="Arial" w:eastAsia="Arial" w:hAnsi="Arial"/>
          <w:b/>
          <w:bCs/>
          <w:sz w:val="28"/>
          <w:szCs w:val="28"/>
        </w:rPr>
        <w:t xml:space="preserve">References for Section 1.6 (New references — continue from [45])</w:t>
      </w:r>
    </w:p>
    <w:p>
      <w:pPr>
        <w:spacing w:after="120"/>
        <w:jc w:val="both"/>
      </w:pPr>
      <w:r>
        <w:rPr>
          <w:rFonts w:ascii="Arial" w:cs="Arial" w:eastAsia="Arial" w:hAnsi="Arial"/>
          <w:i/>
          <w:iCs/>
          <w:sz w:val="22"/>
          <w:szCs w:val="22"/>
        </w:rPr>
        <w:t xml:space="preserve">References [1]–[45] are as listed in previous sections. Works [W1]–[W9] are as listed in Section 1.5. The following are new references introduced in Section 1.6:</w:t>
      </w:r>
    </w:p>
    <w:p>
      <w:pPr>
        <w:spacing w:after="120"/>
      </w:pPr>
    </w:p>
    <w:p>
      <w:pPr>
        <w:spacing w:after="120"/>
        <w:ind w:left="720" w:hanging="360"/>
      </w:pPr>
      <w:r>
        <w:rPr>
          <w:rFonts w:ascii="Arial" w:cs="Arial" w:eastAsia="Arial" w:hAnsi="Arial"/>
          <w:b/>
          <w:bCs/>
          <w:sz w:val="20"/>
          <w:szCs w:val="20"/>
        </w:rPr>
        <w:t xml:space="preserve">[46] </w:t>
      </w:r>
      <w:r>
        <w:rPr>
          <w:rFonts w:ascii="Arial" w:cs="Arial" w:eastAsia="Arial" w:hAnsi="Arial"/>
          <w:sz w:val="20"/>
          <w:szCs w:val="20"/>
        </w:rPr>
        <w:t xml:space="preserve">Botín-Sanabria, D. M., Mihaita, A.-S., Peimbert-García, R. E., Ramírez-Moreno, M. A., Ramírez-Mendoza, R. A., &amp; Lozoya-Santos, J. de J. (2022). Digital twin technology challenges and applications: A comprehensive review. Remote Sensing, 14(6), 1335. https://doi.org/10.3390/rs14061335  [Journal Article — MDPI Remote Sensing, Open Access; systematic review of DT challenges and gaps including lack of open-source frameworks and integration of behavioural models]</w:t>
      </w:r>
    </w:p>
    <w:p>
      <w:pPr>
        <w:spacing w:after="120"/>
        <w:ind w:left="720" w:hanging="360"/>
      </w:pPr>
      <w:r>
        <w:rPr>
          <w:rFonts w:ascii="Arial" w:cs="Arial" w:eastAsia="Arial" w:hAnsi="Arial"/>
          <w:b/>
          <w:bCs/>
          <w:sz w:val="20"/>
          <w:szCs w:val="20"/>
        </w:rPr>
        <w:t xml:space="preserve">[47] </w:t>
      </w:r>
      <w:r>
        <w:rPr>
          <w:rFonts w:ascii="Arial" w:cs="Arial" w:eastAsia="Arial" w:hAnsi="Arial"/>
          <w:sz w:val="20"/>
          <w:szCs w:val="20"/>
        </w:rPr>
        <w:t xml:space="preserve">Villeneuve, E., Brault, A., &amp; Gendreau, M. (2025). Current approaches to digital twins in additive manufacturing: A systematic literature review. Progress in Additive Manufacturing. https://doi.org/10.1007/s40964-025-01262-7  [Journal Article — Springer Progress in Additive Manufacturing; 65 papers reviewed (2010–2024); identifies data collection, sensor integration, and ML deployment as primary open challenges in DT-for-AM]</w:t>
      </w:r>
    </w:p>
    <w:p>
      <w:pPr>
        <w:spacing w:after="120"/>
      </w:pPr>
    </w:p>
    <w:p>
      <w:pPr>
        <w:spacing w:after="120"/>
      </w:pPr>
    </w:p>
    <w:p>
      <w:pPr>
        <w:pStyle w:val="Heading2"/>
        <w:spacing w:after="180" w:before="320"/>
      </w:pPr>
      <w:r>
        <w:rPr>
          <w:rFonts w:ascii="Arial" w:cs="Arial" w:eastAsia="Arial" w:hAnsi="Arial"/>
          <w:b/>
          <w:bCs/>
          <w:sz w:val="28"/>
          <w:szCs w:val="28"/>
        </w:rPr>
        <w:t xml:space="preserve">Your Search Guide — Section 1.6</w:t>
      </w:r>
    </w:p>
    <w:p>
      <w:pPr>
        <w:spacing w:after="160" w:line="276"/>
        <w:jc w:val="both"/>
      </w:pPr>
      <w:r>
        <w:rPr>
          <w:rFonts w:ascii="Arial" w:cs="Arial" w:eastAsia="Arial" w:hAnsi="Arial"/>
          <w:sz w:val="22"/>
          <w:szCs w:val="22"/>
        </w:rPr>
        <w:t xml:space="preserve">Section 1.6 draws primarily on the nine works already reviewed in Section 1.5 [W1–W9] plus two new systematic reviews [46, 47]. The search guide below helps you verify the two new references and find alternatives if needed.</w:t>
      </w:r>
    </w:p>
    <w:p>
      <w:pPr>
        <w:spacing w:after="120"/>
      </w:pPr>
    </w:p>
    <w:p>
      <w:pPr>
        <w:spacing w:after="100" w:before="160"/>
      </w:pPr>
      <w:r>
        <w:rPr>
          <w:rFonts w:ascii="Arial" w:cs="Arial" w:eastAsia="Arial" w:hAnsi="Arial"/>
          <w:b/>
          <w:bCs/>
          <w:sz w:val="22"/>
          <w:szCs w:val="22"/>
          <w:u w:val="single"/>
        </w:rPr>
        <w:t xml:space="preserve">New References to Verify:</w:t>
      </w:r>
    </w:p>
    <w:p>
      <w:pPr>
        <w:pStyle w:val="ListParagraph"/>
        <w:numPr>
          <w:ilvl w:val="0"/>
          <w:numId w:val="2"/>
        </w:numPr>
        <w:spacing w:after="100" w:line="276"/>
        <w:jc w:val="both"/>
      </w:pPr>
      <w:r>
        <w:rPr>
          <w:rFonts w:ascii="Arial" w:cs="Arial" w:eastAsia="Arial" w:hAnsi="Arial"/>
          <w:sz w:val="22"/>
          <w:szCs w:val="22"/>
        </w:rPr>
        <w:t xml:space="preserve">[46] Botín-Sanabria et al. (2022) — Remote Sensing, MDPI.</w:t>
      </w:r>
      <w:r>
        <w:rPr>
          <w:rFonts w:ascii="Arial" w:cs="Arial" w:eastAsia="Arial" w:hAnsi="Arial"/>
          <w:sz w:val="22"/>
          <w:szCs w:val="22"/>
        </w:rPr>
        <w:t xml:space="preserve"> Search: "Botín-Sanabria" "digital twin" "challenges" OR "review". Open Access at: https://doi.org/10.3390/rs14061335. Read Sections 3 and 5 for the gaps on open-source frameworks and behavioural model integration.</w:t>
      </w:r>
    </w:p>
    <w:p>
      <w:pPr>
        <w:pStyle w:val="ListParagraph"/>
        <w:numPr>
          <w:ilvl w:val="0"/>
          <w:numId w:val="2"/>
        </w:numPr>
        <w:spacing w:after="100" w:line="276"/>
        <w:jc w:val="both"/>
      </w:pPr>
      <w:r>
        <w:rPr>
          <w:rFonts w:ascii="Arial" w:cs="Arial" w:eastAsia="Arial" w:hAnsi="Arial"/>
          <w:sz w:val="22"/>
          <w:szCs w:val="22"/>
        </w:rPr>
        <w:t xml:space="preserve">[47] Villeneuve et al. (2025) — Progress in Additive Manufacturing, Springer.</w:t>
      </w:r>
      <w:r>
        <w:rPr>
          <w:rFonts w:ascii="Arial" w:cs="Arial" w:eastAsia="Arial" w:hAnsi="Arial"/>
          <w:sz w:val="22"/>
          <w:szCs w:val="22"/>
        </w:rPr>
        <w:t xml:space="preserve"> Search: "Villeneuve" "digital twin" "additive manufacturing" "systematic review" 2025. DOI: 10.1007/s40964-025-01262-7. Read Sections 4–6 for the data collection, sensor integration, and ML deployment gaps.</w:t>
      </w:r>
    </w:p>
    <w:p>
      <w:pPr>
        <w:spacing w:after="120"/>
      </w:pPr>
    </w:p>
    <w:p>
      <w:pPr>
        <w:spacing w:after="100" w:before="160"/>
      </w:pPr>
      <w:r>
        <w:rPr>
          <w:rFonts w:ascii="Arial" w:cs="Arial" w:eastAsia="Arial" w:hAnsi="Arial"/>
          <w:b/>
          <w:bCs/>
          <w:sz w:val="22"/>
          <w:szCs w:val="22"/>
          <w:u w:val="single"/>
        </w:rPr>
        <w:t xml:space="preserve">Alternative References if Supervisor Rejects [46] or [47]:</w:t>
      </w:r>
    </w:p>
    <w:p>
      <w:pPr>
        <w:pStyle w:val="ListParagraph"/>
        <w:numPr>
          <w:ilvl w:val="0"/>
          <w:numId w:val="2"/>
        </w:numPr>
        <w:spacing w:after="100" w:line="276"/>
        <w:jc w:val="both"/>
      </w:pPr>
      <w:r>
        <w:rPr>
          <w:rFonts w:ascii="Arial" w:cs="Arial" w:eastAsia="Arial" w:hAnsi="Arial"/>
          <w:sz w:val="22"/>
          <w:szCs w:val="22"/>
        </w:rPr>
        <w:t xml:space="preserve">Alternative for [46]: Rasheed et al. (2020) IEEE Access [already ref 39] — includes DT challenges and open research issues. Supplement with: Liu, C., Le Roux, L., Körner, C., Tabaste, O., Lacan, F., &amp; Bigot, S. (2022). Digital twin-enabled collaborative data management for metal additive manufacturing systems. Journal of Manufacturing Systems, 62, 857–874. https://doi.org/10.1016/j.jmsy.2020.05.011</w:t>
      </w:r>
    </w:p>
    <w:p>
      <w:pPr>
        <w:pStyle w:val="ListParagraph"/>
        <w:numPr>
          <w:ilvl w:val="0"/>
          <w:numId w:val="2"/>
        </w:numPr>
        <w:spacing w:after="100" w:line="276"/>
        <w:jc w:val="both"/>
      </w:pPr>
      <w:r>
        <w:rPr>
          <w:rFonts w:ascii="Arial" w:cs="Arial" w:eastAsia="Arial" w:hAnsi="Arial"/>
          <w:sz w:val="22"/>
          <w:szCs w:val="22"/>
        </w:rPr>
        <w:t xml:space="preserve">Alternative for [47]: Aheleroff, S., Xu, X., Zhong, R. Y., &amp; Lu, Y. (2021). Digital twin as a service (DTaaS) in industry 4.0: An architecture reference model. Advanced Engineering Informatics, 47, 101225. https://doi.org/10.1016/j.aei.2020.101225 — Elsevier Q1, identifies open-source and sensor integration gaps.</w:t>
      </w:r>
    </w:p>
    <w:p>
      <w:pPr>
        <w:spacing w:after="120"/>
      </w:pPr>
    </w:p>
    <w:p>
      <w:pPr>
        <w:spacing w:after="100" w:before="160"/>
      </w:pPr>
      <w:r>
        <w:rPr>
          <w:rFonts w:ascii="Arial" w:cs="Arial" w:eastAsia="Arial" w:hAnsi="Arial"/>
          <w:b/>
          <w:bCs/>
          <w:sz w:val="22"/>
          <w:szCs w:val="22"/>
          <w:u w:val="single"/>
        </w:rPr>
        <w:t xml:space="preserve">How to Justify Section 1.6 to Your Supervisor:</w:t>
      </w:r>
    </w:p>
    <w:p>
      <w:pPr>
        <w:pStyle w:val="ListParagraph"/>
        <w:numPr>
          <w:ilvl w:val="0"/>
          <w:numId w:val="2"/>
        </w:numPr>
        <w:spacing w:after="100" w:line="276"/>
        <w:jc w:val="both"/>
      </w:pPr>
      <w:r>
        <w:rPr>
          <w:rFonts w:ascii="Arial" w:cs="Arial" w:eastAsia="Arial" w:hAnsi="Arial"/>
          <w:sz w:val="22"/>
          <w:szCs w:val="22"/>
        </w:rPr>
        <w:t xml:space="preserve">Section 1.6 does NOT introduce new literature — it synthesises Sections 1.5 + [46] + [47]. The two new references are systematic reviews that corroborate the gaps you identified from your own comparative analysis. Your supervisor will see that your gap analysis is validated by field-level systematic reviews — not just your own reading.</w:t>
      </w:r>
    </w:p>
    <w:p>
      <w:pPr>
        <w:pStyle w:val="ListParagraph"/>
        <w:numPr>
          <w:ilvl w:val="0"/>
          <w:numId w:val="2"/>
        </w:numPr>
        <w:spacing w:after="100" w:line="276"/>
        <w:jc w:val="both"/>
      </w:pPr>
      <w:r>
        <w:rPr>
          <w:rFonts w:ascii="Arial" w:cs="Arial" w:eastAsia="Arial" w:hAnsi="Arial"/>
          <w:sz w:val="22"/>
          <w:szCs w:val="22"/>
        </w:rPr>
        <w:t xml:space="preserve">Table 1.5 (synthesis matrix) is your original contribution to the chapter — no reviewed paper has a table comparing these 9 works across these 10 dimensions simultaneously. This is analysis you performed, documented with evidence.</w:t>
      </w:r>
    </w:p>
    <w:p>
      <w:pPr>
        <w:pStyle w:val="ListParagraph"/>
        <w:numPr>
          <w:ilvl w:val="0"/>
          <w:numId w:val="2"/>
        </w:numPr>
        <w:spacing w:after="100" w:line="276"/>
        <w:jc w:val="both"/>
      </w:pPr>
      <w:r>
        <w:rPr>
          <w:rFonts w:ascii="Arial" w:cs="Arial" w:eastAsia="Arial" w:hAnsi="Arial"/>
          <w:sz w:val="22"/>
          <w:szCs w:val="22"/>
        </w:rPr>
        <w:t xml:space="preserve">Each limitation (L1–L6), uncovered need (N1–N4), and opportunity (O1–O5) maps to a specific design decision documented in your thesis plan. Your supervisor can trace every architectural choice back to a literature-justified rationale in this section.</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20"/>
      <w:outlineLvl w:val="1"/>
    </w:pPr>
    <w:rPr>
      <w:rFonts w:ascii="Arial" w:cs="Arial" w:eastAsia="Arial" w:hAnsi="Arial"/>
      <w:b/>
      <w:bCs/>
      <w:sz w:val="28"/>
      <w:szCs w:val="28"/>
    </w:rPr>
  </w:style>
  <w:style w:type="paragraph" w:styleId="Heading3">
    <w:name w:val="Heading 3"/>
    <w:basedOn w:val="Normal"/>
    <w:next w:val="Normal"/>
    <w:qFormat/>
    <w:pPr>
      <w:spacing w:after="14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2026-05-10T11:20:28.833Z</dcterms:created>
  <dcterms:modified xsi:type="dcterms:W3CDTF">2026-05-10T11:20:28.850Z</dcterms:modified>
</cp:coreProperties>
</file>

<file path=docProps/custom.xml><?xml version="1.0" encoding="utf-8"?>
<Properties xmlns="http://schemas.openxmlformats.org/officeDocument/2006/custom-properties" xmlns:vt="http://schemas.openxmlformats.org/officeDocument/2006/docPropsVTypes"/>
</file>