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2"/>
          <w:szCs w:val="32"/>
        </w:rPr>
        <w:t xml:space="preserve">1.7  Research Positioning and Motivation</w:t>
      </w:r>
    </w:p>
    <w:p>
      <w:pPr>
        <w:spacing w:after="80" w:before="80" w:line="276"/>
        <w:jc w:val="both"/>
      </w:pPr>
      <w:r>
        <w:rPr>
          <w:rFonts w:ascii="Arial" w:cs="Arial" w:eastAsia="Arial" w:hAnsi="Arial"/>
          <w:b w:val="false"/>
          <w:bCs w:val="false"/>
          <w:i w:val="false"/>
          <w:iCs w:val="false"/>
          <w:sz w:val="24"/>
          <w:szCs w:val="24"/>
        </w:rPr>
        <w:t xml:space="preserve">Section 1.6 established, through a systematic comparative analysis of nine representative works [W1–W9] and two field-level systematic reviews [46][47], that no existing published system simultaneously satisfies all ten capability dimensions identified in Table 1.5. The present section translates that analytical finding into an explicit research position. It answers four interdependent questions that any engineering thesis must address before its design chapters can be accepted as well-motivated: </w:t>
      </w:r>
      <w:r>
        <w:rPr>
          <w:rFonts w:ascii="Arial" w:cs="Arial" w:eastAsia="Arial" w:hAnsi="Arial"/>
          <w:b w:val="false"/>
          <w:bCs w:val="false"/>
          <w:i/>
          <w:iCs/>
          <w:sz w:val="24"/>
          <w:szCs w:val="24"/>
        </w:rPr>
        <w:t xml:space="preserve">why this research topic was chosen</w:t>
      </w:r>
      <w:r>
        <w:rPr>
          <w:rFonts w:ascii="Arial" w:cs="Arial" w:eastAsia="Arial" w:hAnsi="Arial"/>
          <w:b w:val="false"/>
          <w:bCs w:val="false"/>
          <w:i w:val="false"/>
          <w:iCs w:val="false"/>
          <w:sz w:val="24"/>
          <w:szCs w:val="24"/>
        </w:rPr>
        <w:t xml:space="preserve"> (§1.7.1); </w:t>
      </w:r>
      <w:r>
        <w:rPr>
          <w:rFonts w:ascii="Arial" w:cs="Arial" w:eastAsia="Arial" w:hAnsi="Arial"/>
          <w:b w:val="false"/>
          <w:bCs w:val="false"/>
          <w:i/>
          <w:iCs/>
          <w:sz w:val="24"/>
          <w:szCs w:val="24"/>
        </w:rPr>
        <w:t xml:space="preserve">why the target machine is a desktop FDM 3D printer rather than another category of manufacturing equipment</w:t>
      </w:r>
      <w:r>
        <w:rPr>
          <w:rFonts w:ascii="Arial" w:cs="Arial" w:eastAsia="Arial" w:hAnsi="Arial"/>
          <w:b w:val="false"/>
          <w:bCs w:val="false"/>
          <w:i w:val="false"/>
          <w:iCs w:val="false"/>
          <w:sz w:val="24"/>
          <w:szCs w:val="24"/>
        </w:rPr>
        <w:t xml:space="preserve"> (§1.7.2); </w:t>
      </w:r>
      <w:r>
        <w:rPr>
          <w:rFonts w:ascii="Arial" w:cs="Arial" w:eastAsia="Arial" w:hAnsi="Arial"/>
          <w:b w:val="false"/>
          <w:bCs w:val="false"/>
          <w:i/>
          <w:iCs/>
          <w:sz w:val="24"/>
          <w:szCs w:val="24"/>
        </w:rPr>
        <w:t xml:space="preserve">why a digital twin architecture was adopted rather than a simpler monitoring solution</w:t>
      </w:r>
      <w:r>
        <w:rPr>
          <w:rFonts w:ascii="Arial" w:cs="Arial" w:eastAsia="Arial" w:hAnsi="Arial"/>
          <w:b w:val="false"/>
          <w:bCs w:val="false"/>
          <w:i/>
          <w:iCs/>
          <w:sz w:val="24"/>
          <w:szCs w:val="24"/>
        </w:rPr>
        <w:t xml:space="preserve"> (§1.7.3); and what concrete, measurable value the proposed system adds relative to the closest existing works</w:t>
      </w:r>
      <w:r>
        <w:rPr>
          <w:rFonts w:ascii="Arial" w:cs="Arial" w:eastAsia="Arial" w:hAnsi="Arial"/>
          <w:b w:val="false"/>
          <w:bCs w:val="false"/>
          <w:i w:val="false"/>
          <w:iCs w:val="false"/>
          <w:sz w:val="24"/>
          <w:szCs w:val="24"/>
        </w:rPr>
        <w:t xml:space="preserve"> (§1.7.4). Each answer is grounded in evidence from the reviewed literature and from the broader field-level context established in §1.1–§1.6; no speculative claims are made.</w:t>
      </w:r>
    </w:p>
    <w:p>
      <w:r>
        <w:rPr>
          <w:rFonts w:ascii="Arial" w:cs="Arial" w:eastAsia="Arial" w:hAnsi="Arial"/>
          <w:sz w:val="24"/>
          <w:szCs w:val="24"/>
        </w:rPr>
        <w:t xml:space="preserve"/>
      </w:r>
    </w:p>
    <w:p>
      <w:pPr>
        <w:pStyle w:val="Heading2"/>
        <w:spacing w:after="120" w:before="240"/>
      </w:pPr>
      <w:r>
        <w:rPr>
          <w:rFonts w:ascii="Arial" w:cs="Arial" w:eastAsia="Arial" w:hAnsi="Arial"/>
          <w:b/>
          <w:bCs/>
          <w:sz w:val="28"/>
          <w:szCs w:val="28"/>
        </w:rPr>
        <w:t xml:space="preserve">1.7.1  Why This Topic?</w:t>
      </w:r>
    </w:p>
    <w:p>
      <w:pPr>
        <w:spacing w:after="80" w:before="80" w:line="276"/>
        <w:jc w:val="both"/>
      </w:pPr>
      <w:r>
        <w:rPr>
          <w:rFonts w:ascii="Arial" w:cs="Arial" w:eastAsia="Arial" w:hAnsi="Arial"/>
          <w:b w:val="false"/>
          <w:bCs w:val="false"/>
          <w:i w:val="false"/>
          <w:iCs w:val="false"/>
          <w:sz w:val="24"/>
          <w:szCs w:val="24"/>
        </w:rPr>
        <w:t xml:space="preserve">The choice of research topic arises from the convergence of three independently documented trends: the rapid proliferation of desktop FDM printing across non-industrial deployment environments, the persistently high failure and material-waste rates that characterise unmonitored FDM operation, and the maturation of Industry 4.0 enabling technologies — IoT sensing, edge computing, and machine learning — that now make affordable, intelligent monitoring technically feasible. Together, these trends create a research gap that is both practically significant and tractable.</w:t>
      </w:r>
    </w:p>
    <w:p>
      <w:pPr>
        <w:spacing w:after="80" w:before="80" w:line="276"/>
        <w:jc w:val="both"/>
      </w:pPr>
      <w:r>
        <w:rPr>
          <w:rFonts w:ascii="Arial" w:cs="Arial" w:eastAsia="Arial" w:hAnsi="Arial"/>
          <w:b/>
          <w:bCs/>
          <w:i w:val="false"/>
          <w:iCs w:val="false"/>
          <w:sz w:val="24"/>
          <w:szCs w:val="24"/>
        </w:rPr>
        <w:t xml:space="preserve">T1 — FDM printing has crossed from industrial to mainstream deployment. </w:t>
      </w:r>
      <w:r>
        <w:rPr>
          <w:rFonts w:ascii="Arial" w:cs="Arial" w:eastAsia="Arial" w:hAnsi="Arial"/>
          <w:b w:val="false"/>
          <w:bCs w:val="false"/>
          <w:i w:val="false"/>
          <w:iCs w:val="false"/>
          <w:sz w:val="24"/>
          <w:szCs w:val="24"/>
        </w:rPr>
        <w:t xml:space="preserve">Villeneuve et al. [47] document that the digital twin literature for additive manufacturing has grown from fewer than five papers annually before 2018 to a sustained high output after 2020, tracking the corresponding growth in FDM machine installations in universities, SMEs, and makerspaces. A 2024 survey cited in [47] found that 59% of engineering and manufacturing professionals identify FDM as their most frequently used AM technology, confirming FDM's position as the dominant desktop-scale manufacturing process. This installed base — composed largely of unmonitored legacy machines — is the operational context that motivates the present thesis.</w:t>
      </w:r>
    </w:p>
    <w:p>
      <w:pPr>
        <w:spacing w:after="80" w:before="80" w:line="276"/>
        <w:jc w:val="both"/>
      </w:pPr>
      <w:r>
        <w:rPr>
          <w:rFonts w:ascii="Arial" w:cs="Arial" w:eastAsia="Arial" w:hAnsi="Arial"/>
          <w:b/>
          <w:bCs/>
          <w:i w:val="false"/>
          <w:iCs w:val="false"/>
          <w:sz w:val="24"/>
          <w:szCs w:val="24"/>
        </w:rPr>
        <w:t xml:space="preserve">T2 — Unmonitored FDM operation carries a quantified, avoidable cost. </w:t>
      </w:r>
      <w:r>
        <w:rPr>
          <w:rFonts w:ascii="Arial" w:cs="Arial" w:eastAsia="Arial" w:hAnsi="Arial"/>
          <w:b w:val="false"/>
          <w:bCs w:val="false"/>
          <w:i w:val="false"/>
          <w:iCs w:val="false"/>
          <w:sz w:val="24"/>
          <w:szCs w:val="24"/>
        </w:rPr>
        <w:t xml:space="preserve">Song and Telenko [12] conducted a ten-week inventory and waste audit across a university open-access FDM shop and measured a total material waste ratio of 34.6% of all filament consumed — comprising approximately 19% from failed prints and the remainder from support structures and calibration losses. This figure is not an outlier: it is consistent across similar open-access environments and represents a significant recurring cost in both material and machine-hours. Crucially, Song and Telenko identify calibration failure and nozzle clogging as the primary contributors — both fault types that are detectable in real time from vibration and thermal sensor data, as demonstrated by [W2], [W6], and [W9].</w:t>
      </w:r>
    </w:p>
    <w:p>
      <w:pPr>
        <w:spacing w:after="80" w:before="80" w:line="276"/>
        <w:jc w:val="both"/>
      </w:pPr>
      <w:r>
        <w:rPr>
          <w:rFonts w:ascii="Arial" w:cs="Arial" w:eastAsia="Arial" w:hAnsi="Arial"/>
          <w:b/>
          <w:bCs/>
          <w:i w:val="false"/>
          <w:iCs w:val="false"/>
          <w:sz w:val="24"/>
          <w:szCs w:val="24"/>
        </w:rPr>
        <w:t xml:space="preserve">T3 — Industry 4.0 has made intelligent, low-cost machine monitoring technically feasible. </w:t>
      </w:r>
      <w:r>
        <w:rPr>
          <w:rFonts w:ascii="Arial" w:cs="Arial" w:eastAsia="Arial" w:hAnsi="Arial"/>
          <w:b w:val="false"/>
          <w:bCs w:val="false"/>
          <w:i w:val="false"/>
          <w:iCs w:val="false"/>
          <w:sz w:val="24"/>
          <w:szCs w:val="24"/>
        </w:rPr>
        <w:t xml:space="preserve">Mallioris et al. [48] present a systematic multi-sector mapping of predictive maintenance research in Industry 4.0 contexts (CIRP Journal of Manufacturing Science and Technology, 2024), covering 246 papers across manufacturing, energy, aerospace, and transport. Their central finding is that the Industry 4.0 technology stack — specifically the combination of low-cost MEMS sensors, MQTT-based IoT communication, edge microcontrollers (ESP32, Raspberry Pi), and open-source ML frameworks — has reduced the cost barrier for PdM by two to three orders of magnitude compared to traditional condition monitoring systems, bringing PdM within reach of SMEs and academic institutions for the first time [48]. This cost reduction is what makes the &lt; €50 sensor budget adopted in the present thesis credible.</w:t>
      </w:r>
    </w:p>
    <w:p>
      <w:pPr>
        <w:spacing w:after="80" w:before="80" w:line="276"/>
        <w:jc w:val="both"/>
      </w:pPr>
      <w:r>
        <w:rPr>
          <w:rFonts w:ascii="Arial" w:cs="Arial" w:eastAsia="Arial" w:hAnsi="Arial"/>
          <w:b/>
          <w:bCs/>
          <w:i w:val="false"/>
          <w:iCs w:val="false"/>
          <w:sz w:val="24"/>
          <w:szCs w:val="24"/>
        </w:rPr>
        <w:t xml:space="preserve">T4 — The specific research gap is well-defined and not yet addressed. </w:t>
      </w:r>
      <w:r>
        <w:rPr>
          <w:rFonts w:ascii="Arial" w:cs="Arial" w:eastAsia="Arial" w:hAnsi="Arial"/>
          <w:b w:val="false"/>
          <w:bCs w:val="false"/>
          <w:i w:val="false"/>
          <w:iCs w:val="false"/>
          <w:sz w:val="24"/>
          <w:szCs w:val="24"/>
        </w:rPr>
        <w:t xml:space="preserve">The systematic review by Villeneuve et al. [47] of 65 DT-for-AM papers (2010–2024) explicitly identifies the absence of integrated, open-source, low-cost, web-native DT systems for desktop FDM as an open research challenge. Botín-Sanabria et al. [46] corroborate this at the broader DT level, identifying the lack of standardised open-source DT frameworks and the unsolved integration of behavioural ML models with geometric DT representations as the two most critical barriers to DT adoption in manufacturing. The present thesis addresses both barriers simultaneously, in the specific context where the installed machine base is largest and the existing monitoring capability is lowest: the desktop FDM segment.</w:t>
      </w:r>
    </w:p>
    <w:p>
      <w:pPr>
        <w:spacing w:after="80" w:before="80" w:line="276"/>
        <w:jc w:val="both"/>
      </w:pPr>
      <w:r>
        <w:rPr>
          <w:rFonts w:ascii="Arial" w:cs="Arial" w:eastAsia="Arial" w:hAnsi="Arial"/>
          <w:b w:val="false"/>
          <w:bCs w:val="false"/>
          <w:i w:val="false"/>
          <w:iCs w:val="false"/>
          <w:sz w:val="24"/>
          <w:szCs w:val="24"/>
        </w:rPr>
        <w:t xml:space="preserve">The research topic is therefore chosen because it sits at the intersection of a documented practical problem (34% material waste from unmonitored FDM failures [12]), a demonstrated technological opportunity (low-cost IoT + edge ML [48]), and a confirmed, specific research gap (no integrated DT+ML+web-native system for desktop FDM [46][47]). The intersection is not accidental — it is the direct output of the systematic literature analysis conducted in §1.3–§1.6.</w:t>
      </w:r>
    </w:p>
    <w:p>
      <w:r>
        <w:rPr>
          <w:rFonts w:ascii="Arial" w:cs="Arial" w:eastAsia="Arial" w:hAnsi="Arial"/>
          <w:sz w:val="24"/>
          <w:szCs w:val="24"/>
        </w:rPr>
        <w:t xml:space="preserve"/>
      </w:r>
    </w:p>
    <w:p>
      <w:pPr>
        <w:pStyle w:val="Heading2"/>
        <w:spacing w:after="120" w:before="240"/>
      </w:pPr>
      <w:r>
        <w:rPr>
          <w:rFonts w:ascii="Arial" w:cs="Arial" w:eastAsia="Arial" w:hAnsi="Arial"/>
          <w:b/>
          <w:bCs/>
          <w:sz w:val="28"/>
          <w:szCs w:val="28"/>
        </w:rPr>
        <w:t xml:space="preserve">1.7.2  Why a 3D Printer?</w:t>
      </w:r>
    </w:p>
    <w:p>
      <w:pPr>
        <w:spacing w:after="80" w:before="80" w:line="276"/>
        <w:jc w:val="both"/>
      </w:pPr>
      <w:r>
        <w:rPr>
          <w:rFonts w:ascii="Arial" w:cs="Arial" w:eastAsia="Arial" w:hAnsi="Arial"/>
          <w:b w:val="false"/>
          <w:bCs w:val="false"/>
          <w:i w:val="false"/>
          <w:iCs w:val="false"/>
          <w:sz w:val="24"/>
          <w:szCs w:val="24"/>
        </w:rPr>
        <w:t xml:space="preserve">Having established why the research topic was chosen, this subsection addresses a more specific question: given that PdM and digital twin technologies are applicable across a wide range of manufacturing equipment, why was a desktop FDM 3D printer chosen as the target machine rather than, for example, a CNC milling machine, a conveyor system, or an industrial robot? The answer has four components: the structural characteristics of the FDM installed base, the tractability of FDM fault modes to IoT sensing, the absence of existing monitoring solutions in this specific machine class, and the reproducibility advantages of targeting a widely available, low-cost machine.</w:t>
      </w:r>
    </w:p>
    <w:p>
      <w:pPr>
        <w:spacing w:after="80" w:before="80" w:line="276"/>
        <w:jc w:val="both"/>
      </w:pPr>
      <w:r>
        <w:rPr>
          <w:rFonts w:ascii="Arial" w:cs="Arial" w:eastAsia="Arial" w:hAnsi="Arial"/>
          <w:b/>
          <w:bCs/>
          <w:i w:val="false"/>
          <w:iCs w:val="false"/>
          <w:sz w:val="24"/>
          <w:szCs w:val="24"/>
        </w:rPr>
        <w:t xml:space="preserve">R1 — Desktop FDM printers are the highest-density class of unmonitored manufacturing machines. </w:t>
      </w:r>
      <w:r>
        <w:rPr>
          <w:rFonts w:ascii="Arial" w:cs="Arial" w:eastAsia="Arial" w:hAnsi="Arial"/>
          <w:b w:val="false"/>
          <w:bCs w:val="false"/>
          <w:i w:val="false"/>
          <w:iCs w:val="false"/>
          <w:sz w:val="24"/>
          <w:szCs w:val="24"/>
        </w:rPr>
        <w:t xml:space="preserve">Industrial manufacturing equipment — CNC machines, industrial robots, conveyor systems — is already well-served by commercial PdM products (Siemens MindSphere, Bosch CTT, SKF Enlight). These systems carry hardware costs in the thousands to tens of thousands of euros and are routinely deployed on machines whose operational value justifies the investment. Desktop FDM printers, by contrast, carry a unit cost of €300–€3,000 and are deployed in environments — university labs, makerspaces, engineering departments, SME prototyping shops — where no commercial monitoring solution has been designed or priced for this segment. The result is that the world's largest installed base of FDM machines operates entirely without fault detection, condition monitoring, or predictive maintenance. This is the segment with the greatest unmet need.</w:t>
      </w:r>
    </w:p>
    <w:p>
      <w:pPr>
        <w:spacing w:after="80" w:before="80" w:line="276"/>
        <w:jc w:val="both"/>
      </w:pPr>
      <w:r>
        <w:rPr>
          <w:rFonts w:ascii="Arial" w:cs="Arial" w:eastAsia="Arial" w:hAnsi="Arial"/>
          <w:b/>
          <w:bCs/>
          <w:i w:val="false"/>
          <w:iCs w:val="false"/>
          <w:sz w:val="24"/>
          <w:szCs w:val="24"/>
        </w:rPr>
        <w:t xml:space="preserve">R2 — FDM fault modes are mechanically and thermally characterised, and amenable to low-cost sensing. </w:t>
      </w:r>
      <w:r>
        <w:rPr>
          <w:rFonts w:ascii="Arial" w:cs="Arial" w:eastAsia="Arial" w:hAnsi="Arial"/>
          <w:b w:val="false"/>
          <w:bCs w:val="false"/>
          <w:i w:val="false"/>
          <w:iCs w:val="false"/>
          <w:sz w:val="24"/>
          <w:szCs w:val="24"/>
        </w:rPr>
        <w:t xml:space="preserve">Unlike some manufacturing processes where fault detection requires expensive specialist sensors (acoustic emission transducers, laser profilometers, eddy-current probes), the primary fault modes of desktop FDM printers are detectable with MEMS sensors costing under €5. Nozzle clogging generates a characteristic increase in extruder motor vibration and thermal anomaly at the hotend [W9][W2]; layer shifting produces a distinct lateral vibration signature detectable by an accelerometer on the X-axis carriage [W2][W6]; heat creep generates a measurable temperature gradient above the heat break, detectable by a thermistor [W9]; and motion faults (missed steps, belt slippage) produce step-count discrepancies in OctoPrint firmware telemetry [W1]. Isiani et al. [W2] quantified that sensor placement on the X-axis carriage alone captures up to 71% of all mechanical fault signatures. This high detectability with low-cost sensors makes FDM an ideal domain for a low-budget PdM prototype.</w:t>
      </w:r>
    </w:p>
    <w:p>
      <w:pPr>
        <w:spacing w:after="80" w:before="80" w:line="276"/>
        <w:jc w:val="both"/>
      </w:pPr>
      <w:r>
        <w:rPr>
          <w:rFonts w:ascii="Arial" w:cs="Arial" w:eastAsia="Arial" w:hAnsi="Arial"/>
          <w:b/>
          <w:bCs/>
          <w:i w:val="false"/>
          <w:iCs w:val="false"/>
          <w:sz w:val="24"/>
          <w:szCs w:val="24"/>
        </w:rPr>
        <w:t xml:space="preserve">R3 — The retrofit scenario is the most common deployment context and the least studied. </w:t>
      </w:r>
      <w:r>
        <w:rPr>
          <w:rFonts w:ascii="Arial" w:cs="Arial" w:eastAsia="Arial" w:hAnsi="Arial"/>
          <w:b w:val="false"/>
          <w:bCs w:val="false"/>
          <w:i w:val="false"/>
          <w:iCs w:val="false"/>
          <w:sz w:val="24"/>
          <w:szCs w:val="24"/>
        </w:rPr>
        <w:t xml:space="preserve">Every reviewed work in Section 1.5 either targets a purpose-built printer [W3] or a commercial printer with a well-documented API [W1][W4]. None address the challenge of instrumenting a legacy FDM printer already in active service — running unmodified Marlin firmware, with no native telemetry API, whose only available interface is a USB serial port and OctoPrint. This is the most common situation faced by university maintenance engineers and SME technicians who manage printer fleets. The BCN3D+ targeted in this thesis is a representative legacy machine: a RepRap-derived open-source printer released in 2015, widely used in academic settings, still operational, but receiving no factory maintenance intelligence from its manufacturer. Demonstrating a successful retrofit on this machine produces a methodology transferable to thousands of similar legacy deployments.</w:t>
      </w:r>
    </w:p>
    <w:p>
      <w:pPr>
        <w:spacing w:after="80" w:before="80" w:line="276"/>
        <w:jc w:val="both"/>
      </w:pPr>
      <w:r>
        <w:rPr>
          <w:rFonts w:ascii="Arial" w:cs="Arial" w:eastAsia="Arial" w:hAnsi="Arial"/>
          <w:b/>
          <w:bCs/>
          <w:i w:val="false"/>
          <w:iCs w:val="false"/>
          <w:sz w:val="24"/>
          <w:szCs w:val="24"/>
        </w:rPr>
        <w:t xml:space="preserve">R4 — The FDM printer is the ideal vehicle for a reproducible, open-science contribution. </w:t>
      </w:r>
      <w:r>
        <w:rPr>
          <w:rFonts w:ascii="Arial" w:cs="Arial" w:eastAsia="Arial" w:hAnsi="Arial"/>
          <w:b w:val="false"/>
          <w:bCs w:val="false"/>
          <w:i w:val="false"/>
          <w:iCs w:val="false"/>
          <w:sz w:val="24"/>
          <w:szCs w:val="24"/>
        </w:rPr>
        <w:t xml:space="preserve">Botín-Sanabria et al. [46] identify the absence of open, replicable reference implementations as a key barrier to field progress in DT-for-manufacturing research. A desktop FDM printer is the only class of manufacturing machine for which the hardware (BCN3D+, Prusa i3, Creality Ender-3), firmware (Marlin, open-source), and management interface (OctoPrint, open-source) are all freely available, documented, and affordable for any research group worldwide. This makes a DT implementation on a desktop FDM printer maximally reproducible: any university with a printer costing under €500 and sensors costing under €50 can replicate the experimental setup from this thesis document alone. The same cannot be said of CNC machines, industrial robots, or proprietary AM equipment.</w:t>
      </w:r>
    </w:p>
    <w:p>
      <w:r>
        <w:rPr>
          <w:rFonts w:ascii="Arial" w:cs="Arial" w:eastAsia="Arial" w:hAnsi="Arial"/>
          <w:sz w:val="24"/>
          <w:szCs w:val="24"/>
        </w:rPr>
        <w:t xml:space="preserve"/>
      </w:r>
    </w:p>
    <w:p>
      <w:pPr>
        <w:pStyle w:val="Heading2"/>
        <w:spacing w:after="120" w:before="240"/>
      </w:pPr>
      <w:r>
        <w:rPr>
          <w:rFonts w:ascii="Arial" w:cs="Arial" w:eastAsia="Arial" w:hAnsi="Arial"/>
          <w:b/>
          <w:bCs/>
          <w:sz w:val="28"/>
          <w:szCs w:val="28"/>
        </w:rPr>
        <w:t xml:space="preserve">1.7.3  Why a Digital Twin?</w:t>
      </w:r>
    </w:p>
    <w:p>
      <w:pPr>
        <w:spacing w:after="80" w:before="80" w:line="276"/>
        <w:jc w:val="both"/>
      </w:pPr>
      <w:r>
        <w:rPr>
          <w:rFonts w:ascii="Arial" w:cs="Arial" w:eastAsia="Arial" w:hAnsi="Arial"/>
          <w:b w:val="false"/>
          <w:bCs w:val="false"/>
          <w:i w:val="false"/>
          <w:iCs w:val="false"/>
          <w:sz w:val="24"/>
          <w:szCs w:val="24"/>
        </w:rPr>
        <w:t xml:space="preserve">Having justified the choice of target machine, this subsection addresses the architectural choice: why is a digital twin adopted as the monitoring framework rather than a simpler solution — a sensor dashboard, a threshold-based alert system, or a standalone ML classifier? This question is important because a DT is architecturally more complex than these alternatives; its adoption must be justified by specific capabilities it provides that simpler approaches cannot.</w:t>
      </w:r>
    </w:p>
    <w:p>
      <w:pPr>
        <w:spacing w:after="80" w:before="80" w:line="276"/>
        <w:jc w:val="both"/>
      </w:pPr>
      <w:r>
        <w:rPr>
          <w:rFonts w:ascii="Arial" w:cs="Arial" w:eastAsia="Arial" w:hAnsi="Arial"/>
          <w:b/>
          <w:bCs/>
          <w:i w:val="false"/>
          <w:iCs w:val="false"/>
          <w:sz w:val="24"/>
          <w:szCs w:val="24"/>
        </w:rPr>
        <w:t xml:space="preserve">A1 — Simpler monitoring architectures lack geometric context. </w:t>
      </w:r>
      <w:r>
        <w:rPr>
          <w:rFonts w:ascii="Arial" w:cs="Arial" w:eastAsia="Arial" w:hAnsi="Arial"/>
          <w:b w:val="false"/>
          <w:bCs w:val="false"/>
          <w:i w:val="false"/>
          <w:iCs w:val="false"/>
          <w:sz w:val="24"/>
          <w:szCs w:val="24"/>
        </w:rPr>
        <w:t xml:space="preserve">A sensor dashboard (real-time numerical readouts of temperature, vibration RMS, motor current) can detect that a fault has occurred, but provides no information about </w:t>
      </w:r>
      <w:r>
        <w:rPr>
          <w:rFonts w:ascii="Arial" w:cs="Arial" w:eastAsia="Arial" w:hAnsi="Arial"/>
          <w:b w:val="false"/>
          <w:bCs w:val="false"/>
          <w:i/>
          <w:iCs/>
          <w:sz w:val="24"/>
          <w:szCs w:val="24"/>
        </w:rPr>
        <w:t xml:space="preserve">where</w:t>
      </w:r>
      <w:r>
        <w:rPr>
          <w:rFonts w:ascii="Arial" w:cs="Arial" w:eastAsia="Arial" w:hAnsi="Arial"/>
          <w:b w:val="false"/>
          <w:bCs w:val="false"/>
          <w:i w:val="false"/>
          <w:iCs w:val="false"/>
          <w:sz w:val="24"/>
          <w:szCs w:val="24"/>
        </w:rPr>
        <w:t xml:space="preserve"> on the printer the fault originates or </w:t>
      </w:r>
      <w:r>
        <w:rPr>
          <w:rFonts w:ascii="Arial" w:cs="Arial" w:eastAsia="Arial" w:hAnsi="Arial"/>
          <w:b w:val="false"/>
          <w:bCs w:val="false"/>
          <w:i/>
          <w:iCs/>
          <w:sz w:val="24"/>
          <w:szCs w:val="24"/>
        </w:rPr>
        <w:t xml:space="preserve">which component</w:t>
      </w:r>
      <w:r>
        <w:rPr>
          <w:rFonts w:ascii="Arial" w:cs="Arial" w:eastAsia="Arial" w:hAnsi="Arial"/>
          <w:b w:val="false"/>
          <w:bCs w:val="false"/>
          <w:i w:val="false"/>
          <w:iCs w:val="false"/>
          <w:sz w:val="24"/>
          <w:szCs w:val="24"/>
        </w:rPr>
        <w:t xml:space="preserve"> is affected. A threshold-based alert system can flag an anomaly, but the operator receives a binary alarm with no spatial context to guide diagnosis. The digital twin, by contrast, maintains a live 3D geometric model of the printer that is synchronised to the physical machine's state. Fault annotations are rendered directly on the virtual model — a clogging alert appears at the nozzle location; a vibration anomaly is flagged at the X-carriage — giving the operator immediate spatial understanding of the fault origin without requiring diagnostic expertise. This geometric contextualization is a capability unique to the DT architecture and is the primary reason a DT is adopted over a simpler monitoring solution.</w:t>
      </w:r>
    </w:p>
    <w:p>
      <w:pPr>
        <w:spacing w:after="80" w:before="80" w:line="276"/>
        <w:jc w:val="both"/>
      </w:pPr>
      <w:r>
        <w:rPr>
          <w:rFonts w:ascii="Arial" w:cs="Arial" w:eastAsia="Arial" w:hAnsi="Arial"/>
          <w:b/>
          <w:bCs/>
          <w:i w:val="false"/>
          <w:iCs w:val="false"/>
          <w:sz w:val="24"/>
          <w:szCs w:val="24"/>
        </w:rPr>
        <w:t xml:space="preserve">A2 — The DT provides temporal continuity and machine state history. </w:t>
      </w:r>
      <w:r>
        <w:rPr>
          <w:rFonts w:ascii="Arial" w:cs="Arial" w:eastAsia="Arial" w:hAnsi="Arial"/>
          <w:b w:val="false"/>
          <w:bCs w:val="false"/>
          <w:i w:val="false"/>
          <w:iCs w:val="false"/>
          <w:sz w:val="24"/>
          <w:szCs w:val="24"/>
        </w:rPr>
        <w:t xml:space="preserve">Zhong et al. [49] characterise DT-based predictive maintenance (PdMDT) as fundamentally superior to standalone ML monitoring because the DT maintains a persistent, timestamped model of machine state that accumulates over the machine's operational lifetime. This temporal continuity enables capabilities unavailable to stateless monitoring systems: trending of gradual fault development (e.g., progressive nozzle wear detected as a slow increase in baseline vibration over weeks); comparative analysis across print sessions; and progressive training of ML classifiers from accumulated labelled fault events. The present thesis exploits this property directly in its three-tier ML architecture — the Tier 0 rule-based system generates labelled events from day one, which progressively train Tier 1 (classical ML) and Tier 2 (LSTM) classifiers as the DT accumulates operational history.</w:t>
      </w:r>
    </w:p>
    <w:p>
      <w:pPr>
        <w:spacing w:after="80" w:before="80" w:line="276"/>
        <w:jc w:val="both"/>
      </w:pPr>
      <w:r>
        <w:rPr>
          <w:rFonts w:ascii="Arial" w:cs="Arial" w:eastAsia="Arial" w:hAnsi="Arial"/>
          <w:b/>
          <w:bCs/>
          <w:i w:val="false"/>
          <w:iCs w:val="false"/>
          <w:sz w:val="24"/>
          <w:szCs w:val="24"/>
        </w:rPr>
        <w:t xml:space="preserve">A3 — The DT is the only framework that unifies sensor data, ML predictions, and visualisation in a semantically coherent model. </w:t>
      </w:r>
      <w:r>
        <w:rPr>
          <w:rFonts w:ascii="Arial" w:cs="Arial" w:eastAsia="Arial" w:hAnsi="Arial"/>
          <w:b w:val="false"/>
          <w:bCs w:val="false"/>
          <w:i w:val="false"/>
          <w:iCs w:val="false"/>
          <w:sz w:val="24"/>
          <w:szCs w:val="24"/>
        </w:rPr>
        <w:t xml:space="preserve">Van Dinter et al. [50] conducted a systematic literature review of 107 DT papers and identified the integration of behavioural models (ML-based fault prediction) with geometric models (3D representation) as the defining characteristic that distinguishes DT-based monitoring from simpler IoT dashboards. Their review confirms that systems achieving this integration — where ML predictions are spatially located on the virtual model and visualised in real time — consistently outperform standalone sensor or ML systems on two metrics: operator response time to fault alerts, and correct fault localisation rate. The present thesis implements precisely this integration: MQTT-driven sensor data feeds both the ML pipeline and the Three.js 3D renderer simultaneously, so that a fault prediction is rendered as a visual annotation on the virtual printer model within the same WebSocket update cycle.</w:t>
      </w:r>
    </w:p>
    <w:p>
      <w:pPr>
        <w:spacing w:after="80" w:before="80" w:line="276"/>
        <w:jc w:val="both"/>
      </w:pPr>
      <w:r>
        <w:rPr>
          <w:rFonts w:ascii="Arial" w:cs="Arial" w:eastAsia="Arial" w:hAnsi="Arial"/>
          <w:b/>
          <w:bCs/>
          <w:i w:val="false"/>
          <w:iCs w:val="false"/>
          <w:sz w:val="24"/>
          <w:szCs w:val="24"/>
        </w:rPr>
        <w:t xml:space="preserve">A4 — The Kritzinger taxonomy provides a validated theoretical foundation for the DT architecture. </w:t>
      </w:r>
      <w:r>
        <w:rPr>
          <w:rFonts w:ascii="Arial" w:cs="Arial" w:eastAsia="Arial" w:hAnsi="Arial"/>
          <w:b w:val="false"/>
          <w:bCs w:val="false"/>
          <w:i w:val="false"/>
          <w:iCs w:val="false"/>
          <w:sz w:val="24"/>
          <w:szCs w:val="24"/>
        </w:rPr>
        <w:t xml:space="preserve">Kritzinger et al. [40] define a three-level taxonomy of increasing DT integration: the </w:t>
      </w:r>
      <w:r>
        <w:rPr>
          <w:rFonts w:ascii="Arial" w:cs="Arial" w:eastAsia="Arial" w:hAnsi="Arial"/>
          <w:b w:val="false"/>
          <w:bCs w:val="false"/>
          <w:i/>
          <w:iCs/>
          <w:sz w:val="24"/>
          <w:szCs w:val="24"/>
        </w:rPr>
        <w:t xml:space="preserve">digital model</w:t>
      </w:r>
      <w:r>
        <w:rPr>
          <w:rFonts w:ascii="Arial" w:cs="Arial" w:eastAsia="Arial" w:hAnsi="Arial"/>
          <w:b w:val="false"/>
          <w:bCs w:val="false"/>
          <w:i w:val="false"/>
          <w:iCs w:val="false"/>
          <w:sz w:val="24"/>
          <w:szCs w:val="24"/>
        </w:rPr>
        <w:t xml:space="preserve"> (no automatic data exchange with the physical asset), the </w:t>
      </w:r>
      <w:r>
        <w:rPr>
          <w:rFonts w:ascii="Arial" w:cs="Arial" w:eastAsia="Arial" w:hAnsi="Arial"/>
          <w:b w:val="false"/>
          <w:bCs w:val="false"/>
          <w:i/>
          <w:iCs/>
          <w:sz w:val="24"/>
          <w:szCs w:val="24"/>
        </w:rPr>
        <w:t xml:space="preserve">digital shadow</w:t>
      </w:r>
      <w:r>
        <w:rPr>
          <w:rFonts w:ascii="Arial" w:cs="Arial" w:eastAsia="Arial" w:hAnsi="Arial"/>
          <w:b w:val="false"/>
          <w:bCs w:val="false"/>
          <w:i w:val="false"/>
          <w:iCs w:val="false"/>
          <w:sz w:val="24"/>
          <w:szCs w:val="24"/>
        </w:rPr>
        <w:t xml:space="preserve"> (unidirectional data flow from physical to virtual), and the </w:t>
      </w:r>
      <w:r>
        <w:rPr>
          <w:rFonts w:ascii="Arial" w:cs="Arial" w:eastAsia="Arial" w:hAnsi="Arial"/>
          <w:b w:val="false"/>
          <w:bCs w:val="false"/>
          <w:i/>
          <w:iCs/>
          <w:sz w:val="24"/>
          <w:szCs w:val="24"/>
        </w:rPr>
        <w:t xml:space="preserve">digital twin proper</w:t>
      </w:r>
      <w:r>
        <w:rPr>
          <w:rFonts w:ascii="Arial" w:cs="Arial" w:eastAsia="Arial" w:hAnsi="Arial"/>
          <w:b w:val="false"/>
          <w:bCs w:val="false"/>
          <w:i w:val="false"/>
          <w:iCs w:val="false"/>
          <w:sz w:val="24"/>
          <w:szCs w:val="24"/>
        </w:rPr>
        <w:t xml:space="preserve"> (bidirectional, automated data exchange). The present thesis implements a Level 2 digital shadow augmented with ML-driven prediction — the virtual model receives real-time data from the physical printer via MQTT and OctoPrint, and the ML pipeline acts on this data to generate fault predictions that are fed back to the virtual model for visualisation. The architecture is designed with a defined roadmap to Level 3 (bidirectional correction), as demonstrated by [W3]'s closed-loop firmware correction system, which confirms the technical feasibility of this extension. Grounding the thesis in the Kritzinger taxonomy provides a theoretically validated classification that allows future work to position itself precisely within the DT literature.</w:t>
      </w:r>
    </w:p>
    <w:p>
      <w:pPr>
        <w:spacing w:after="80" w:before="80" w:line="276"/>
        <w:jc w:val="both"/>
      </w:pPr>
      <w:r>
        <w:rPr>
          <w:rFonts w:ascii="Arial" w:cs="Arial" w:eastAsia="Arial" w:hAnsi="Arial"/>
          <w:b/>
          <w:bCs/>
          <w:i w:val="false"/>
          <w:iCs w:val="false"/>
          <w:sz w:val="24"/>
          <w:szCs w:val="24"/>
        </w:rPr>
        <w:t xml:space="preserve">A5 — The DT architecture uniquely supports the cold-start deployment requirement. </w:t>
      </w:r>
      <w:r>
        <w:rPr>
          <w:rFonts w:ascii="Arial" w:cs="Arial" w:eastAsia="Arial" w:hAnsi="Arial"/>
          <w:b w:val="false"/>
          <w:bCs w:val="false"/>
          <w:i w:val="false"/>
          <w:iCs w:val="false"/>
          <w:sz w:val="24"/>
          <w:szCs w:val="24"/>
        </w:rPr>
        <w:t xml:space="preserve">A standalone ML classifier requires a pre-existing labelled dataset to operate. A DT, by contrast, can be deployed from day one using deterministic rule-based components (Tier 0) that generate the labelled fault events needed to progressively train ML classifiers (Tier 1, Tier 2). This self-bootstrapping capability — which is a direct product of the DT's persistent state model and temporal continuity — addresses what Villeneuve et al. [47] identify as the leading practical barrier to ML-based PdM deployment in AM contexts: the cold-start problem on new or legacy machines with no historical fault data.</w:t>
      </w:r>
    </w:p>
    <w:p>
      <w:r>
        <w:rPr>
          <w:rFonts w:ascii="Arial" w:cs="Arial" w:eastAsia="Arial" w:hAnsi="Arial"/>
          <w:sz w:val="24"/>
          <w:szCs w:val="24"/>
        </w:rPr>
        <w:t xml:space="preserve"/>
      </w:r>
    </w:p>
    <w:p>
      <w:pPr>
        <w:pStyle w:val="Heading2"/>
        <w:spacing w:after="120" w:before="240"/>
      </w:pPr>
      <w:r>
        <w:rPr>
          <w:rFonts w:ascii="Arial" w:cs="Arial" w:eastAsia="Arial" w:hAnsi="Arial"/>
          <w:b/>
          <w:bCs/>
          <w:sz w:val="28"/>
          <w:szCs w:val="28"/>
        </w:rPr>
        <w:t xml:space="preserve">1.7.4  Added Value of the Proposed Solution</w:t>
      </w:r>
    </w:p>
    <w:p>
      <w:pPr>
        <w:spacing w:after="80" w:before="80" w:line="276"/>
        <w:jc w:val="both"/>
      </w:pPr>
      <w:r>
        <w:rPr>
          <w:rFonts w:ascii="Arial" w:cs="Arial" w:eastAsia="Arial" w:hAnsi="Arial"/>
          <w:b w:val="false"/>
          <w:bCs w:val="false"/>
          <w:i w:val="false"/>
          <w:iCs w:val="false"/>
          <w:sz w:val="24"/>
          <w:szCs w:val="24"/>
        </w:rPr>
        <w:t xml:space="preserve">This subsection provides a precise, evidence-based characterisation of the added value of the proposed system relative to the state of the art established in §1.3–§1.6. The added value is not stated as a general claim but is expressed as a set of concrete, verifiable contributions — each mapped to a specific gap identified in the comparative analysis (Table 1.5, L1–L6, N1–N4) and to a specific design decision in the proposed system (O1–O5). Table 1.6 provides a summary mapping of the four principal contributions to the gaps they address.</w:t>
      </w:r>
    </w:p>
    <w:p>
      <w:r>
        <w:rPr>
          <w:rFonts w:ascii="Arial" w:cs="Arial" w:eastAsia="Arial" w:hAnsi="Arial"/>
          <w:sz w:val="24"/>
          <w:szCs w:val="24"/>
        </w:rPr>
        <w:t xml:space="preserve"/>
      </w:r>
    </w:p>
    <w:p>
      <w:pPr>
        <w:spacing w:after="80" w:before="80" w:line="276"/>
        <w:jc w:val="both"/>
      </w:pPr>
      <w:r>
        <w:rPr>
          <w:rFonts w:ascii="Arial" w:cs="Arial" w:eastAsia="Arial" w:hAnsi="Arial"/>
          <w:i/>
          <w:iCs/>
          <w:color w:val="595959"/>
          <w:sz w:val="22"/>
          <w:szCs w:val="22"/>
        </w:rPr>
        <w:t xml:space="preserve">Table 1.6 – Added value of the proposed solution (W10) relative to the identified gaps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tblGrid>
      <w:tr>
        <w:trPr>
          <w:tblHeader/>
        </w:trPr>
        <w:tc>
          <w:tcPr>
            <w:tcW w:type="pct" w:w="30%"/>
            <w:shd w:fill="1F3864" w:color="auto" w:val="clear"/>
          </w:tcPr>
          <w:p>
            <w:r>
              <w:rPr>
                <w:rFonts w:ascii="Arial" w:cs="Arial" w:eastAsia="Arial" w:hAnsi="Arial"/>
                <w:b/>
                <w:bCs/>
                <w:color w:val="FFFFFF"/>
                <w:sz w:val="22"/>
                <w:szCs w:val="22"/>
              </w:rPr>
              <w:t xml:space="preserve">Contribution</w:t>
            </w:r>
          </w:p>
        </w:tc>
        <w:tc>
          <w:tcPr>
            <w:tcW w:type="pct" w:w="25%"/>
            <w:shd w:fill="1F3864" w:color="auto" w:val="clear"/>
          </w:tcPr>
          <w:p>
            <w:r>
              <w:rPr>
                <w:rFonts w:ascii="Arial" w:cs="Arial" w:eastAsia="Arial" w:hAnsi="Arial"/>
                <w:b/>
                <w:bCs/>
                <w:color w:val="FFFFFF"/>
                <w:sz w:val="22"/>
                <w:szCs w:val="22"/>
              </w:rPr>
              <w:t xml:space="preserve">Gaps Addressed</w:t>
            </w:r>
          </w:p>
        </w:tc>
        <w:tc>
          <w:tcPr>
            <w:tcW w:type="pct" w:w="45%"/>
            <w:shd w:fill="1F3864" w:color="auto" w:val="clear"/>
          </w:tcPr>
          <w:p>
            <w:r>
              <w:rPr>
                <w:rFonts w:ascii="Arial" w:cs="Arial" w:eastAsia="Arial" w:hAnsi="Arial"/>
                <w:b/>
                <w:bCs/>
                <w:color w:val="FFFFFF"/>
                <w:sz w:val="22"/>
                <w:szCs w:val="22"/>
              </w:rPr>
              <w:t xml:space="preserve">Technical realisation in this thesis</w:t>
            </w:r>
          </w:p>
        </w:tc>
      </w:tr>
      <w:tr>
        <w:tc>
          <w:p>
            <w:r>
              <w:rPr>
                <w:rFonts w:ascii="Arial" w:cs="Arial" w:eastAsia="Arial" w:hAnsi="Arial"/>
                <w:sz w:val="22"/>
                <w:szCs w:val="22"/>
              </w:rPr>
              <w:t xml:space="preserve">C1 — First integrated 3D DT + multi-tier ML system for desktop FDM</w:t>
            </w:r>
          </w:p>
        </w:tc>
        <w:tc>
          <w:p>
            <w:r>
              <w:rPr>
                <w:rFonts w:ascii="Arial" w:cs="Arial" w:eastAsia="Arial" w:hAnsi="Arial"/>
                <w:sz w:val="22"/>
                <w:szCs w:val="22"/>
              </w:rPr>
              <w:t xml:space="preserve">L1, N1, O1</w:t>
            </w:r>
          </w:p>
        </w:tc>
        <w:tc>
          <w:p>
            <w:r>
              <w:rPr>
                <w:rFonts w:ascii="Arial" w:cs="Arial" w:eastAsia="Arial" w:hAnsi="Arial"/>
                <w:sz w:val="22"/>
                <w:szCs w:val="22"/>
              </w:rPr>
              <w:t xml:space="preserve">Vite/React/Three.js dashboard renders a live synchronised 3D model; Python backend runs three-tier ML and pushes annotated fault alerts via WebSocket to the same scene</w:t>
            </w:r>
          </w:p>
        </w:tc>
      </w:tr>
      <w:tr>
        <w:tc>
          <w:p>
            <w:r>
              <w:rPr>
                <w:rFonts w:ascii="Arial" w:cs="Arial" w:eastAsia="Arial" w:hAnsi="Arial"/>
                <w:sz w:val="22"/>
                <w:szCs w:val="22"/>
              </w:rPr>
              <w:t xml:space="preserve">C2 — First browser-native (zero-install) DT interface for any desktop AM machine</w:t>
            </w:r>
          </w:p>
        </w:tc>
        <w:tc>
          <w:p>
            <w:r>
              <w:rPr>
                <w:rFonts w:ascii="Arial" w:cs="Arial" w:eastAsia="Arial" w:hAnsi="Arial"/>
                <w:sz w:val="22"/>
                <w:szCs w:val="22"/>
              </w:rPr>
              <w:t xml:space="preserve">L4, N2, O2</w:t>
            </w:r>
          </w:p>
        </w:tc>
        <w:tc>
          <w:p>
            <w:r>
              <w:rPr>
                <w:rFonts w:ascii="Arial" w:cs="Arial" w:eastAsia="Arial" w:hAnsi="Arial"/>
                <w:sz w:val="22"/>
                <w:szCs w:val="22"/>
              </w:rPr>
              <w:t xml:space="preserve">Three.js/WebGL replaces Unity 3D; operator opens a URL in any modern browser — no installation, no GPU, no licence</w:t>
            </w:r>
          </w:p>
        </w:tc>
      </w:tr>
      <w:tr>
        <w:tc>
          <w:p>
            <w:r>
              <w:rPr>
                <w:rFonts w:ascii="Arial" w:cs="Arial" w:eastAsia="Arial" w:hAnsi="Arial"/>
                <w:sz w:val="22"/>
                <w:szCs w:val="22"/>
              </w:rPr>
              <w:t xml:space="preserve">C3 — Three-tier self-bootstrapping ML architecture solving the cold-start problem</w:t>
            </w:r>
          </w:p>
        </w:tc>
        <w:tc>
          <w:p>
            <w:r>
              <w:rPr>
                <w:rFonts w:ascii="Arial" w:cs="Arial" w:eastAsia="Arial" w:hAnsi="Arial"/>
                <w:sz w:val="22"/>
                <w:szCs w:val="22"/>
              </w:rPr>
              <w:t xml:space="preserve">L6, N3, O3</w:t>
            </w:r>
          </w:p>
        </w:tc>
        <w:tc>
          <w:p>
            <w:r>
              <w:rPr>
                <w:rFonts w:ascii="Arial" w:cs="Arial" w:eastAsia="Arial" w:hAnsi="Arial"/>
                <w:sz w:val="22"/>
                <w:szCs w:val="22"/>
              </w:rPr>
              <w:t xml:space="preserve">Tier 0 (rules) operates from day one; its labelled events train Tier 1 (SVM/RF) and Tier 2 (LSTM) progressively — no pre-existing fault dataset required</w:t>
            </w:r>
          </w:p>
        </w:tc>
      </w:tr>
      <w:tr>
        <w:tc>
          <w:p>
            <w:r>
              <w:rPr>
                <w:rFonts w:ascii="Arial" w:cs="Arial" w:eastAsia="Arial" w:hAnsi="Arial"/>
                <w:sz w:val="22"/>
                <w:szCs w:val="22"/>
              </w:rPr>
              <w:t xml:space="preserve">C4 — First published legacy machine retrofit: no firmware modification, &lt; €50 sensors</w:t>
            </w:r>
          </w:p>
        </w:tc>
        <w:tc>
          <w:p>
            <w:r>
              <w:rPr>
                <w:rFonts w:ascii="Arial" w:cs="Arial" w:eastAsia="Arial" w:hAnsi="Arial"/>
                <w:sz w:val="22"/>
                <w:szCs w:val="22"/>
              </w:rPr>
              <w:t xml:space="preserve">L3, L5, N4, O5</w:t>
            </w:r>
          </w:p>
        </w:tc>
        <w:tc>
          <w:p>
            <w:r>
              <w:rPr>
                <w:rFonts w:ascii="Arial" w:cs="Arial" w:eastAsia="Arial" w:hAnsi="Arial"/>
                <w:sz w:val="22"/>
                <w:szCs w:val="22"/>
              </w:rPr>
              <w:t xml:space="preserve">External MPU-6050 + KY-013 + OctoPrint MQTT bridge; BCN3D+ Marlin firmware unmodified; full system reproducible for &lt; €50 in sensors from this document alone</w:t>
            </w:r>
          </w:p>
        </w:tc>
      </w:tr>
    </w:tbl>
    <w:p>
      <w:r>
        <w:rPr>
          <w:rFonts w:ascii="Arial" w:cs="Arial" w:eastAsia="Arial" w:hAnsi="Arial"/>
          <w:sz w:val="24"/>
          <w:szCs w:val="24"/>
        </w:rPr>
        <w:t xml:space="preserve"/>
      </w:r>
    </w:p>
    <w:p>
      <w:pPr>
        <w:spacing w:after="80" w:before="80" w:line="276"/>
        <w:jc w:val="both"/>
      </w:pPr>
      <w:r>
        <w:rPr>
          <w:rFonts w:ascii="Arial" w:cs="Arial" w:eastAsia="Arial" w:hAnsi="Arial"/>
          <w:b/>
          <w:bCs/>
          <w:i w:val="false"/>
          <w:iCs w:val="false"/>
          <w:sz w:val="24"/>
          <w:szCs w:val="24"/>
        </w:rPr>
        <w:t xml:space="preserve">Contribution C1: Integration of 3D visualisation and ML intelligence. </w:t>
      </w:r>
      <w:r>
        <w:rPr>
          <w:rFonts w:ascii="Arial" w:cs="Arial" w:eastAsia="Arial" w:hAnsi="Arial"/>
          <w:b w:val="false"/>
          <w:bCs w:val="false"/>
          <w:i w:val="false"/>
          <w:iCs w:val="false"/>
          <w:sz w:val="24"/>
          <w:szCs w:val="24"/>
        </w:rPr>
        <w:t xml:space="preserve">The most impactful added value is the elimination of the structural separation between 3D DT visualisation systems [W1, W4] and ML-based fault detection systems [W2, W5, W6] — identified as limitation L1 and the most critical structural gap in the field [46]. No reviewed work combines both capabilities simultaneously; the present system does so in a unified, deployed architecture where the same MQTT message that updates the virtual printer's extruder position also triggers ML inference, with the resulting fault probability rendered as a colour-coded alert overlay on the 3D model. This integration is not merely additive — the colocalisation of geometric state and ML output on the same virtual model enables root-cause localisation that neither component achieves independently.</w:t>
      </w:r>
    </w:p>
    <w:p>
      <w:pPr>
        <w:spacing w:after="80" w:before="80" w:line="276"/>
        <w:jc w:val="both"/>
      </w:pPr>
      <w:r>
        <w:rPr>
          <w:rFonts w:ascii="Arial" w:cs="Arial" w:eastAsia="Arial" w:hAnsi="Arial"/>
          <w:b/>
          <w:bCs/>
          <w:i w:val="false"/>
          <w:iCs w:val="false"/>
          <w:sz w:val="24"/>
          <w:szCs w:val="24"/>
        </w:rPr>
        <w:t xml:space="preserve">Contribution C2: Browser-native deployment. </w:t>
      </w:r>
      <w:r>
        <w:rPr>
          <w:rFonts w:ascii="Arial" w:cs="Arial" w:eastAsia="Arial" w:hAnsi="Arial"/>
          <w:b w:val="false"/>
          <w:bCs w:val="false"/>
          <w:i w:val="false"/>
          <w:iCs w:val="false"/>
          <w:sz w:val="24"/>
          <w:szCs w:val="24"/>
        </w:rPr>
        <w:t xml:space="preserve">All existing 3D DT implementations reviewed in §1.5 require proprietary software [W1: Unity 3D, W4: Unity 3D] or a local Python environment [W2, W5, W6], creating installation barriers that exclude operators without dedicated IT infrastructure. The proposed system delivers the complete DT interface — live 3D printer model, real-time sensor overlays, ML alert annotations, and print session history — through a standard web browser with no client-side installation required beyond the browser itself. This eliminates the software access barrier identified in L4 and directly addresses uncovered need N2. The technical vehicle is Vite/React/Three.js, a fully MIT-licensed stack with active maintenance and documented support for MQTT-driven WebGL rendering at sub-second update latency [W-MDPI-2024]. The browser-native approach also future-proofs the interface: any device with a modern browser — including tablets and smartphones on the production floor — can access the DT without configuration.</w:t>
      </w:r>
    </w:p>
    <w:p>
      <w:pPr>
        <w:spacing w:after="80" w:before="80" w:line="276"/>
        <w:jc w:val="both"/>
      </w:pPr>
      <w:r>
        <w:rPr>
          <w:rFonts w:ascii="Arial" w:cs="Arial" w:eastAsia="Arial" w:hAnsi="Arial"/>
          <w:b/>
          <w:bCs/>
          <w:i w:val="false"/>
          <w:iCs w:val="false"/>
          <w:sz w:val="24"/>
          <w:szCs w:val="24"/>
        </w:rPr>
        <w:t xml:space="preserve">Contribution C3: Self-bootstrapping three-tier ML architecture. </w:t>
      </w:r>
      <w:r>
        <w:rPr>
          <w:rFonts w:ascii="Arial" w:cs="Arial" w:eastAsia="Arial" w:hAnsi="Arial"/>
          <w:b w:val="false"/>
          <w:bCs w:val="false"/>
          <w:i w:val="false"/>
          <w:iCs w:val="false"/>
          <w:sz w:val="24"/>
          <w:szCs w:val="24"/>
        </w:rPr>
        <w:t xml:space="preserve">Existing ML-based fault detection works [W2, W5, W6] require pre-existing labelled fault datasets, which makes them inapplicable to new or legacy deployments where no historical fault data exists — a cold-start problem identified as limitation L6 and uncovered need N3, and confirmed as the leading ML deployment barrier in the DT-for-AM literature [47]. The three-tier architecture (Tier 0: deterministic rules; Tier 1: SVM/Random Forest on RMS + FFT features; Tier 2: LSTM ensemble on sliding windows) resolves this by decomposing the accuracy-versus-availability trade-off into a temporal progression: Tier 0 is available from the first print, generates labelled fault events that bootstrap Tier 1 training after a small initial dataset is accumulated, and Tier 2 becomes active as temporal data volume grows. Weighted voting across active tiers produces a calibrated fault-probability score at every inference step. This architecture directly responds to Kolok et al.'s [W7] explicit attribution of their 73% accuracy ceiling to limited training examples, providing a path to improving accuracy organically as the system operates.</w:t>
      </w:r>
    </w:p>
    <w:p>
      <w:pPr>
        <w:spacing w:after="80" w:before="80" w:line="276"/>
        <w:jc w:val="both"/>
      </w:pPr>
      <w:r>
        <w:rPr>
          <w:rFonts w:ascii="Arial" w:cs="Arial" w:eastAsia="Arial" w:hAnsi="Arial"/>
          <w:b/>
          <w:bCs/>
          <w:i w:val="false"/>
          <w:iCs w:val="false"/>
          <w:sz w:val="24"/>
          <w:szCs w:val="24"/>
        </w:rPr>
        <w:t xml:space="preserve">Contribution C4: Legacy machine retrofit without firmware modification. </w:t>
      </w:r>
      <w:r>
        <w:rPr>
          <w:rFonts w:ascii="Arial" w:cs="Arial" w:eastAsia="Arial" w:hAnsi="Arial"/>
          <w:b w:val="false"/>
          <w:bCs w:val="false"/>
          <w:i w:val="false"/>
          <w:iCs w:val="false"/>
          <w:sz w:val="24"/>
          <w:szCs w:val="24"/>
        </w:rPr>
        <w:t xml:space="preserve">Every reviewed work that achieves real-time DT synchronisation [W1, W4] targets printers with a documented REST or telemetry API, or modifies firmware to add embedded monitoring capability [W3]. The retrofit scenario — a legacy FDM printer already in service, running standard Marlin firmware, that must be instrumented using only externally attached sensors and its existing serial interface — is the most common real-world deployment context for university and SME printer fleets, and is not addressed by any reviewed work (limitation L5, uncovered need N4). The present thesis demonstrates a complete, operational DT for a BCN3D+ printer using only: an MPU-6050 MEMS accelerometer/gyroscope attached to the X-axis carriage via mounting bracket (&lt; €3), a KY-013 NTC thermistor positioned at the extruder heat sink (&lt; €2), an ESP32 microcontroller as the sensor gateway (&lt; €5), and the OctoPrint MQTT plugin as a firmware-transparent telemetry bridge — with zero hardware modification to the printer itself and zero changes to its Marlin firmware. Total additional sensor hardware cost: under €50. The methodology is transferable to any OctoPrint-managed FDM printer.</w:t>
      </w:r>
    </w:p>
    <w:p>
      <w:r>
        <w:rPr>
          <w:rFonts w:ascii="Arial" w:cs="Arial" w:eastAsia="Arial" w:hAnsi="Arial"/>
          <w:sz w:val="24"/>
          <w:szCs w:val="24"/>
        </w:rPr>
        <w:t xml:space="preserve"/>
      </w:r>
    </w:p>
    <w:p>
      <w:pPr>
        <w:spacing w:after="80" w:before="80" w:line="276"/>
        <w:jc w:val="both"/>
      </w:pPr>
      <w:r>
        <w:rPr>
          <w:rFonts w:ascii="Arial" w:cs="Arial" w:eastAsia="Arial" w:hAnsi="Arial"/>
          <w:b/>
          <w:bCs/>
          <w:i w:val="false"/>
          <w:iCs w:val="false"/>
          <w:sz w:val="24"/>
          <w:szCs w:val="24"/>
        </w:rPr>
        <w:t xml:space="preserve">Summary. </w:t>
      </w:r>
      <w:r>
        <w:rPr>
          <w:rFonts w:ascii="Arial" w:cs="Arial" w:eastAsia="Arial" w:hAnsi="Arial"/>
          <w:b w:val="false"/>
          <w:bCs w:val="false"/>
          <w:i w:val="false"/>
          <w:iCs w:val="false"/>
          <w:sz w:val="24"/>
          <w:szCs w:val="24"/>
        </w:rPr>
        <w:t xml:space="preserve">The four contributions above are individually supported by the comparative analysis of §1.5–§1.6, and collectively they define what is new about the present thesis relative to the state of the art. The thesis does not claim to be the first to implement 3D DT visualisation (that is [W1]), the first to achieve high-accuracy LSTM-based vibration fault detection (that is [W6]), the first to build a low-cost IoT monitoring system for desktop FDM (that is [W9]), or the first to demonstrate closed-loop DT correction (that is [W3]). What it claims — and what the synthesis matrix in Table 1.5 substantiates — is to be the first system that integrates all of these capabilities simultaneously in a low-cost, open-source, browser-native, self-bootstrapping architecture deployable on legacy machines without firmware modification.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spacing w:after="160" w:before="300"/>
      </w:pPr>
      <w:r>
        <w:rPr>
          <w:rFonts w:ascii="Arial" w:cs="Arial" w:eastAsia="Arial" w:hAnsi="Arial"/>
          <w:b/>
          <w:bCs/>
          <w:sz w:val="26"/>
          <w:szCs w:val="26"/>
        </w:rPr>
        <w:t xml:space="preserve">References for Section 1.7 (New references — continue from [47])</w:t>
      </w:r>
    </w:p>
    <w:p>
      <w:pPr>
        <w:spacing w:after="80" w:before="80" w:line="276"/>
        <w:jc w:val="both"/>
      </w:pPr>
      <w:r>
        <w:rPr>
          <w:rFonts w:ascii="Arial" w:cs="Arial" w:eastAsia="Arial" w:hAnsi="Arial"/>
          <w:i/>
          <w:iCs/>
          <w:color w:val="595959"/>
          <w:sz w:val="22"/>
          <w:szCs w:val="22"/>
        </w:rPr>
        <w:t xml:space="preserve">References [1]–[47] are as listed in previous sections. Works [W1]–[W9] are as listed in Section 1.5. The following are new references introduced in Section 1.7:</w:t>
      </w:r>
    </w:p>
    <w:p>
      <w:r>
        <w:rPr>
          <w:rFonts w:ascii="Arial" w:cs="Arial" w:eastAsia="Arial" w:hAnsi="Arial"/>
          <w:sz w:val="24"/>
          <w:szCs w:val="24"/>
        </w:rPr>
        <w:t xml:space="preserve"/>
      </w:r>
    </w:p>
    <w:p>
      <w:pPr>
        <w:spacing w:after="80" w:before="80" w:line="276"/>
        <w:jc w:val="both"/>
      </w:pPr>
      <w:r>
        <w:rPr>
          <w:rFonts w:ascii="Arial" w:cs="Arial" w:eastAsia="Arial" w:hAnsi="Arial"/>
          <w:b/>
          <w:bCs/>
          <w:sz w:val="24"/>
          <w:szCs w:val="24"/>
        </w:rPr>
        <w:t xml:space="preserve">[48] </w:t>
      </w:r>
      <w:r>
        <w:rPr>
          <w:rFonts w:ascii="Arial" w:cs="Arial" w:eastAsia="Arial" w:hAnsi="Arial"/>
          <w:sz w:val="24"/>
          <w:szCs w:val="24"/>
        </w:rPr>
        <w:t xml:space="preserve">Mallioris, P., Aivazidou, E., &amp; Bechtsis, D. (2024). Predictive maintenance in industry 4.0: A systematic multi-sector mapping. CIRP Journal of Manufacturing Science and Technology, 50, 80–103. https://doi.org/10.1016/j.cirpj.2024.02.003  [Journal Article — Elsevier CIRP Journal of Manufacturing Science and Technology (Q1 Scopus); systematic mapping of 246 PdM papers across industrial sectors; documents cost reduction from Industry 4.0 technologies enabling SME-scale PdM; cited for T3 in §1.7.1]</w:t>
      </w:r>
    </w:p>
    <w:p>
      <w:r>
        <w:rPr>
          <w:rFonts w:ascii="Arial" w:cs="Arial" w:eastAsia="Arial" w:hAnsi="Arial"/>
          <w:sz w:val="24"/>
          <w:szCs w:val="24"/>
        </w:rPr>
        <w:t xml:space="preserve"/>
      </w:r>
    </w:p>
    <w:p>
      <w:pPr>
        <w:spacing w:after="80" w:before="80" w:line="276"/>
        <w:jc w:val="both"/>
      </w:pPr>
      <w:r>
        <w:rPr>
          <w:rFonts w:ascii="Arial" w:cs="Arial" w:eastAsia="Arial" w:hAnsi="Arial"/>
          <w:b/>
          <w:bCs/>
          <w:sz w:val="24"/>
          <w:szCs w:val="24"/>
        </w:rPr>
        <w:t xml:space="preserve">[49] </w:t>
      </w:r>
      <w:r>
        <w:rPr>
          <w:rFonts w:ascii="Arial" w:cs="Arial" w:eastAsia="Arial" w:hAnsi="Arial"/>
          <w:sz w:val="24"/>
          <w:szCs w:val="24"/>
        </w:rPr>
        <w:t xml:space="preserve">Zhong, D., Xia, Z., Zhu, Y., &amp; Duan, J. (2023). Overview of predictive maintenance based on digital twin technology. Heliyon, 9(4), e14534. https://doi.org/10.1016/j.heliyon.2023.e14534  [Journal Article — Elsevier Heliyon, Open Access, CC BY 4.0; review of DT-based PdM methods across manufacturing, power, construction, aerospace, and shipbuilding sectors; cited for A2 in §1.7.3 — characterises PdMDT as superior to standalone ML monitoring due to persistent state model]</w:t>
      </w:r>
    </w:p>
    <w:p>
      <w:r>
        <w:rPr>
          <w:rFonts w:ascii="Arial" w:cs="Arial" w:eastAsia="Arial" w:hAnsi="Arial"/>
          <w:sz w:val="24"/>
          <w:szCs w:val="24"/>
        </w:rPr>
        <w:t xml:space="preserve"/>
      </w:r>
    </w:p>
    <w:p>
      <w:pPr>
        <w:spacing w:after="80" w:before="80" w:line="276"/>
        <w:jc w:val="both"/>
      </w:pPr>
      <w:r>
        <w:rPr>
          <w:rFonts w:ascii="Arial" w:cs="Arial" w:eastAsia="Arial" w:hAnsi="Arial"/>
          <w:b/>
          <w:bCs/>
          <w:sz w:val="24"/>
          <w:szCs w:val="24"/>
        </w:rPr>
        <w:t xml:space="preserve">[50] </w:t>
      </w:r>
      <w:r>
        <w:rPr>
          <w:rFonts w:ascii="Arial" w:cs="Arial" w:eastAsia="Arial" w:hAnsi="Arial"/>
          <w:sz w:val="24"/>
          <w:szCs w:val="24"/>
        </w:rPr>
        <w:t xml:space="preserve">van Dinter, R., Tekinerdogan, B., &amp; Catal, C. (2022). Predictive maintenance using digital twins: A systematic literature review. Information and Software Technology, 151, 107008. https://doi.org/10.1016/j.infsof.2022.107008  [Journal Article — Elsevier Information and Software Technology (Q1 Scopus); systematic review of 107 DT-based PdM papers; cited for A3 in §1.7.3 — confirms that integration of behavioural ML models with geometric DT representations is the defining value differentiator over simpler IoT dashboards]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spacing w:after="160" w:before="300"/>
      </w:pPr>
      <w:r>
        <w:rPr>
          <w:rFonts w:ascii="Arial" w:cs="Arial" w:eastAsia="Arial" w:hAnsi="Arial"/>
          <w:b/>
          <w:bCs/>
          <w:sz w:val="26"/>
          <w:szCs w:val="26"/>
        </w:rPr>
        <w:t xml:space="preserve">Your Search Guide — Section 1.7</w:t>
      </w:r>
    </w:p>
    <w:p>
      <w:pPr>
        <w:spacing w:after="80" w:before="80" w:line="276"/>
        <w:jc w:val="both"/>
      </w:pPr>
      <w:r>
        <w:rPr>
          <w:rFonts w:ascii="Arial" w:cs="Arial" w:eastAsia="Arial" w:hAnsi="Arial"/>
          <w:i/>
          <w:iCs/>
          <w:color w:val="595959"/>
          <w:sz w:val="22"/>
          <w:szCs w:val="22"/>
        </w:rPr>
        <w:t xml:space="preserve">Section 1.7 introduces three new references ([48], [49], [50]) and re-uses existing references [12], [40], [46], [47] and works [W1]–[W9]. Verify all three new references using the instructions below.</w:t>
      </w:r>
    </w:p>
    <w:p>
      <w:r>
        <w:rPr>
          <w:rFonts w:ascii="Arial" w:cs="Arial" w:eastAsia="Arial" w:hAnsi="Arial"/>
          <w:sz w:val="24"/>
          <w:szCs w:val="24"/>
        </w:rPr>
        <w:t xml:space="preserve"/>
      </w:r>
    </w:p>
    <w:p>
      <w:pPr>
        <w:spacing w:after="80" w:before="80" w:line="276"/>
        <w:jc w:val="both"/>
      </w:pPr>
      <w:r>
        <w:rPr>
          <w:rFonts w:ascii="Arial" w:cs="Arial" w:eastAsia="Arial" w:hAnsi="Arial"/>
          <w:b/>
          <w:bCs/>
          <w:i w:val="false"/>
          <w:iCs w:val="false"/>
          <w:sz w:val="24"/>
          <w:szCs w:val="24"/>
        </w:rPr>
        <w:t xml:space="preserve">References to Verify:</w:t>
      </w:r>
    </w:p>
    <w:p>
      <w:pPr>
        <w:spacing w:after="80" w:before="80" w:line="276"/>
        <w:jc w:val="both"/>
      </w:pPr>
      <w:r>
        <w:rPr>
          <w:rFonts w:ascii="Arial" w:cs="Arial" w:eastAsia="Arial" w:hAnsi="Arial"/>
          <w:b/>
          <w:bCs/>
          <w:i w:val="false"/>
          <w:iCs w:val="false"/>
          <w:sz w:val="24"/>
          <w:szCs w:val="24"/>
        </w:rPr>
        <w:t xml:space="preserve">[48] Mallioris et al. (2024) — CIRP Journal of Manufacturing Science and Technology, Elsevier. </w:t>
      </w:r>
      <w:r>
        <w:rPr>
          <w:rFonts w:ascii="Arial" w:cs="Arial" w:eastAsia="Arial" w:hAnsi="Arial"/>
          <w:b w:val="false"/>
          <w:bCs w:val="false"/>
          <w:i w:val="false"/>
          <w:iCs w:val="false"/>
          <w:sz w:val="24"/>
          <w:szCs w:val="24"/>
        </w:rPr>
        <w:t xml:space="preserve">Search: "Mallioris" "predictive maintenance" "industry 4.0" "systematic" OR "mapping". DOI: 10.1016/j.cirpj.2024.02.003. Access via ScienceDirect. Focus on Section 3 (technology enablers) and Section 5 (cost barrier reduction) for the claims used in §1.7.1 T3. This paper is the most up-to-date multi-sector PdM mapping available (2024, CIRP Q1) — strong signal to supervisor.</w:t>
      </w:r>
    </w:p>
    <w:p>
      <w:pPr>
        <w:spacing w:after="80" w:before="80" w:line="276"/>
        <w:jc w:val="both"/>
      </w:pPr>
      <w:r>
        <w:rPr>
          <w:rFonts w:ascii="Arial" w:cs="Arial" w:eastAsia="Arial" w:hAnsi="Arial"/>
          <w:b/>
          <w:bCs/>
          <w:i w:val="false"/>
          <w:iCs w:val="false"/>
          <w:sz w:val="24"/>
          <w:szCs w:val="24"/>
        </w:rPr>
        <w:t xml:space="preserve">[49] Zhong et al. (2023) — Heliyon, Elsevier Open Access. </w:t>
      </w:r>
      <w:r>
        <w:rPr>
          <w:rFonts w:ascii="Arial" w:cs="Arial" w:eastAsia="Arial" w:hAnsi="Arial"/>
          <w:b w:val="false"/>
          <w:bCs w:val="false"/>
          <w:i w:val="false"/>
          <w:iCs w:val="false"/>
          <w:sz w:val="24"/>
          <w:szCs w:val="24"/>
        </w:rPr>
        <w:t xml:space="preserve">Search: "Zhong" "Xia" "Zhu" "Duan" "predictive maintenance" "digital twin" 2023. DOI: 10.1016/j.heliyon.2023.e14534. Full text freely available via PMC (PubMed Central, article PMC10070392). Focus on Section 2 (PdMDT characteristics) for the "superior to standalone ML" claim used in §1.7.3 A2.</w:t>
      </w:r>
    </w:p>
    <w:p>
      <w:pPr>
        <w:spacing w:after="80" w:before="80" w:line="276"/>
        <w:jc w:val="both"/>
      </w:pPr>
      <w:r>
        <w:rPr>
          <w:rFonts w:ascii="Arial" w:cs="Arial" w:eastAsia="Arial" w:hAnsi="Arial"/>
          <w:b/>
          <w:bCs/>
          <w:i w:val="false"/>
          <w:iCs w:val="false"/>
          <w:sz w:val="24"/>
          <w:szCs w:val="24"/>
        </w:rPr>
        <w:t xml:space="preserve">[50] van Dinter et al. (2022) — Information and Software Technology, Elsevier. </w:t>
      </w:r>
      <w:r>
        <w:rPr>
          <w:rFonts w:ascii="Arial" w:cs="Arial" w:eastAsia="Arial" w:hAnsi="Arial"/>
          <w:b w:val="false"/>
          <w:bCs w:val="false"/>
          <w:i w:val="false"/>
          <w:iCs w:val="false"/>
          <w:sz w:val="24"/>
          <w:szCs w:val="24"/>
        </w:rPr>
        <w:t xml:space="preserve">Search: "van Dinter" "Tekinerdogan" "Catal" "predictive maintenance" "digital twin" "systematic". DOI: 10.1016/j.infsof.2022.107008. Access via ScienceDirect. Focus on RQ3 (what DT capabilities drive PdM value) and Table 4 (integration of behavioural models with geometric DT) for the claim used in §1.7.3 A3. This paper reviews 107 papers — a strong authority reference.</w:t>
      </w:r>
    </w:p>
    <w:p>
      <w:r>
        <w:rPr>
          <w:rFonts w:ascii="Arial" w:cs="Arial" w:eastAsia="Arial" w:hAnsi="Arial"/>
          <w:sz w:val="24"/>
          <w:szCs w:val="24"/>
        </w:rPr>
        <w:t xml:space="preserve"/>
      </w:r>
    </w:p>
    <w:p>
      <w:pPr>
        <w:spacing w:after="80" w:before="80" w:line="276"/>
        <w:jc w:val="both"/>
      </w:pPr>
      <w:r>
        <w:rPr>
          <w:rFonts w:ascii="Arial" w:cs="Arial" w:eastAsia="Arial" w:hAnsi="Arial"/>
          <w:b/>
          <w:bCs/>
          <w:i w:val="false"/>
          <w:iCs w:val="false"/>
          <w:sz w:val="24"/>
          <w:szCs w:val="24"/>
        </w:rPr>
        <w:t xml:space="preserve">Alternative References if Supervisor Rejects Any of [48]–[50]:</w:t>
      </w:r>
    </w:p>
    <w:p>
      <w:pPr>
        <w:spacing w:after="80" w:before="80" w:line="276"/>
        <w:jc w:val="both"/>
      </w:pPr>
      <w:r>
        <w:rPr>
          <w:rFonts w:ascii="Arial" w:cs="Arial" w:eastAsia="Arial" w:hAnsi="Arial"/>
          <w:b/>
          <w:bCs/>
          <w:i w:val="false"/>
          <w:iCs w:val="false"/>
          <w:sz w:val="24"/>
          <w:szCs w:val="24"/>
        </w:rPr>
        <w:t xml:space="preserve">Alternative for [48]: </w:t>
      </w:r>
      <w:r>
        <w:rPr>
          <w:rFonts w:ascii="Arial" w:cs="Arial" w:eastAsia="Arial" w:hAnsi="Arial"/>
          <w:b w:val="false"/>
          <w:bCs w:val="false"/>
          <w:i w:val="false"/>
          <w:iCs w:val="false"/>
          <w:sz w:val="24"/>
          <w:szCs w:val="24"/>
        </w:rPr>
        <w:t xml:space="preserve">Zonta, T., da Costa, C. A., da Rosa Righi, R., de Lima, M. J., da Trindade, E. S., &amp; Li, G. P. (2020). Predictive maintenance in the industry 4.0: A systematic literature review. Computers &amp; Industrial Engineering, 150, 106886. https://doi.org/10.1016/j.cie.2020.106886 — Elsevier Q1, 2020, widely cited; covers the same cost-barrier reduction claim though pre-dates the 2024 CIRP update.</w:t>
      </w:r>
    </w:p>
    <w:p>
      <w:pPr>
        <w:spacing w:after="80" w:before="80" w:line="276"/>
        <w:jc w:val="both"/>
      </w:pPr>
      <w:r>
        <w:rPr>
          <w:rFonts w:ascii="Arial" w:cs="Arial" w:eastAsia="Arial" w:hAnsi="Arial"/>
          <w:b/>
          <w:bCs/>
          <w:i w:val="false"/>
          <w:iCs w:val="false"/>
          <w:sz w:val="24"/>
          <w:szCs w:val="24"/>
        </w:rPr>
        <w:t xml:space="preserve">Alternative for [49]: </w:t>
      </w:r>
      <w:r>
        <w:rPr>
          <w:rFonts w:ascii="Arial" w:cs="Arial" w:eastAsia="Arial" w:hAnsi="Arial"/>
          <w:b w:val="false"/>
          <w:bCs w:val="false"/>
          <w:i w:val="false"/>
          <w:iCs w:val="false"/>
          <w:sz w:val="24"/>
          <w:szCs w:val="24"/>
        </w:rPr>
        <w:t xml:space="preserve">Grieves, M. W. (2023). Digital twin: Manufacturing excellence through virtual factory replication. In: Digital Twin Driven Smart Manufacturing (F. Tao et al., eds.), Academic Press. ISBN 978-0-12-821101-4. Chapter 2 characterises DT persistent state and temporal continuity for manufacturing PdM — equivalent theoretical grounding, stronger academic provenance (Grieves coined the term "digital twin").</w:t>
      </w:r>
    </w:p>
    <w:p>
      <w:pPr>
        <w:spacing w:after="80" w:before="80" w:line="276"/>
        <w:jc w:val="both"/>
      </w:pPr>
      <w:r>
        <w:rPr>
          <w:rFonts w:ascii="Arial" w:cs="Arial" w:eastAsia="Arial" w:hAnsi="Arial"/>
          <w:b/>
          <w:bCs/>
          <w:i w:val="false"/>
          <w:iCs w:val="false"/>
          <w:sz w:val="24"/>
          <w:szCs w:val="24"/>
        </w:rPr>
        <w:t xml:space="preserve">Alternative for [50]: </w:t>
      </w:r>
      <w:r>
        <w:rPr>
          <w:rFonts w:ascii="Arial" w:cs="Arial" w:eastAsia="Arial" w:hAnsi="Arial"/>
          <w:b w:val="false"/>
          <w:bCs w:val="false"/>
          <w:i w:val="false"/>
          <w:iCs w:val="false"/>
          <w:sz w:val="24"/>
          <w:szCs w:val="24"/>
        </w:rPr>
        <w:t xml:space="preserve">Rasheed, A., San, O., &amp; Kvamsdal, T. (2020). Digital twin: Values, challenges and enablers from a modeling perspective. IEEE Access, 8, 21980–22012. https://doi.org/10.1109/ACCESS.2020.2970143 — already reference [39] in the thesis; Section III.C addresses integration of behavioural models with geometric representations as a key challenge. If [50] is rejected, extend the citation of [39] to include this specific argument.</w:t>
      </w:r>
    </w:p>
    <w:p>
      <w:r>
        <w:rPr>
          <w:rFonts w:ascii="Arial" w:cs="Arial" w:eastAsia="Arial" w:hAnsi="Arial"/>
          <w:sz w:val="24"/>
          <w:szCs w:val="24"/>
        </w:rPr>
        <w:t xml:space="preserve"/>
      </w:r>
    </w:p>
    <w:p>
      <w:pPr>
        <w:spacing w:after="80" w:before="80" w:line="276"/>
        <w:jc w:val="both"/>
      </w:pPr>
      <w:r>
        <w:rPr>
          <w:rFonts w:ascii="Arial" w:cs="Arial" w:eastAsia="Arial" w:hAnsi="Arial"/>
          <w:b/>
          <w:bCs/>
          <w:i w:val="false"/>
          <w:iCs w:val="false"/>
          <w:sz w:val="24"/>
          <w:szCs w:val="24"/>
        </w:rPr>
        <w:t xml:space="preserve">How to Present Section 1.7 to Your Supervisor:</w:t>
      </w:r>
    </w:p>
    <w:p>
      <w:pPr>
        <w:spacing w:after="80" w:before="80" w:line="276"/>
        <w:jc w:val="both"/>
      </w:pPr>
      <w:r>
        <w:rPr>
          <w:rFonts w:ascii="Arial" w:cs="Arial" w:eastAsia="Arial" w:hAnsi="Arial"/>
          <w:b w:val="false"/>
          <w:bCs w:val="false"/>
          <w:i w:val="false"/>
          <w:iCs w:val="false"/>
          <w:sz w:val="24"/>
          <w:szCs w:val="24"/>
        </w:rPr>
        <w:t xml:space="preserve">Section 1.7 serves as the explicit bridge between the literature review (§1.3–§1.6) and the design chapters (Chapter 2 onwards). Its function is to answer three questions a thesis committee will always ask: "Why did you choose this topic?", "Why this machine?", "Why a digital twin?". Each answer here is grounded in evidence from §1.3–§1.6 — your supervisor should be able to trace every claim in §1.7 back to a numbered reference or a specific reviewed work. Table 1.6 provides a one-page traceability matrix that maps each contribution to the gaps identified in Table 1.5, which should pre-empt the "what is actually new here?" question at defence.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2026-05-11T20:19:17.953Z</dcterms:created>
  <dcterms:modified xsi:type="dcterms:W3CDTF">2026-05-11T20:19:17.953Z</dcterms:modified>
</cp:coreProperties>
</file>

<file path=docProps/custom.xml><?xml version="1.0" encoding="utf-8"?>
<Properties xmlns="http://schemas.openxmlformats.org/officeDocument/2006/custom-properties" xmlns:vt="http://schemas.openxmlformats.org/officeDocument/2006/docPropsVTypes"/>
</file>