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400"/>
      </w:pPr>
      <w:r>
        <w:rPr>
          <w:rFonts w:ascii="Arial" w:cs="Arial" w:eastAsia="Arial" w:hAnsi="Arial"/>
          <w:b/>
          <w:bCs/>
          <w:color w:val="1F3864"/>
          <w:sz w:val="32"/>
          <w:szCs w:val="32"/>
        </w:rPr>
        <w:t xml:space="preserve">Chapter 5: Operation, Validation and Case Studies</w:t>
      </w:r>
    </w:p>
    <w:p>
      <w:pPr>
        <w:spacing w:after="60" w:before="60"/>
        <w:jc w:val="both"/>
      </w:pPr>
      <w:r>
        <w:rPr>
          <w:rFonts w:ascii="Arial" w:cs="Arial" w:eastAsia="Arial" w:hAnsi="Arial"/>
          <w:sz w:val="22"/>
          <w:szCs w:val="22"/>
        </w:rPr>
        <w:t xml:space="preserve">This chapter presents the operational deployment of the hybrid digital twin system for predictive maintenance of the BCN3D+ FDM 3D printer, followed by three structured case studies covering the principal fault classes targeted in this work: nozzle clogging, motion-axis vibration anomalies, and overheating prediction. Each case study follows a consistent structure consisting of fault description, experimental conditions, sensor signals observed, detection results, and system response. Section 5.5 aggregates performance metrics across all three case studies, and Section 5.6 quantifies the practical benefits achieved in terms of failure reduction, downtime, maintenance efficiency, and estimated economic impact.</w:t>
      </w:r>
    </w:p>
    <w:p>
      <w:pPr>
        <w:spacing w:after="60" w:before="60"/>
        <w:jc w:val="both"/>
      </w:pPr>
      <w:r>
        <w:rPr>
          <w:rFonts w:ascii="Arial" w:cs="Arial" w:eastAsia="Arial" w:hAnsi="Arial"/>
          <w:sz w:val="22"/>
          <w:szCs w:val="22"/>
        </w:rPr>
        <w:t xml:space="preserve">Because the physical system is at an advanced development stage and experimental validation is ongoing at the time of writing, the results reported in this chapter are projected from the component-level benchmarks established in the literature review and from preliminary functional tests performed on the assembled hardware. Conservative figures are used throughout, and explicit references to the sources from which projections are derived are provided at each step. Final experimental figures will be substituted in the revised version of this chapter following completion of the validation campaign.</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5.1  Real-World Deployment</w:t>
      </w:r>
    </w:p>
    <w:p>
      <w:pPr>
        <w:spacing w:after="80" w:before="200"/>
      </w:pPr>
      <w:r>
        <w:rPr>
          <w:rFonts w:ascii="Arial" w:cs="Arial" w:eastAsia="Arial" w:hAnsi="Arial"/>
          <w:b/>
          <w:bCs/>
          <w:color w:val="2E75B6"/>
          <w:sz w:val="24"/>
          <w:szCs w:val="24"/>
        </w:rPr>
        <w:t xml:space="preserve">5.1.1  Deployment Environment</w:t>
      </w:r>
    </w:p>
    <w:p>
      <w:pPr>
        <w:spacing w:after="60" w:before="60"/>
        <w:jc w:val="both"/>
      </w:pPr>
      <w:r>
        <w:rPr>
          <w:rFonts w:ascii="Arial" w:cs="Arial" w:eastAsia="Arial" w:hAnsi="Arial"/>
          <w:sz w:val="22"/>
          <w:szCs w:val="22"/>
        </w:rPr>
        <w:t xml:space="preserve">The system is deployed on a BCN3D+ desktop FDM printer operating under Marlin 2.0 firmware. The printer is installed in a university laboratory environment with ambient temperatures ranging from 18 to 26 degrees Celsius and ambient vibration levels that are characteristic of a shared workspace, introducing a realistic noise floor for the MPU-6050 measurements. No modifications are made to the printer's internal electronics or firmware. All sensor connections are external, ensuring that the deployment strategy is non-invasive and transferable to any FDM printer that exposes a serial port or USB interface.</w:t>
      </w:r>
    </w:p>
    <w:p>
      <w:pPr>
        <w:spacing w:after="60" w:before="60"/>
        <w:jc w:val="both"/>
      </w:pPr>
      <w:r>
        <w:rPr>
          <w:rFonts w:ascii="Arial" w:cs="Arial" w:eastAsia="Arial" w:hAnsi="Arial"/>
          <w:sz w:val="22"/>
          <w:szCs w:val="22"/>
        </w:rPr>
        <w:t xml:space="preserve">The MPU-6050 inertial measurement unit is mounted on the X-axis nozzle carriage using a 3D-printed bracket fabricated in PLA. This mounting position was selected on the basis of the finding by Isiani et al. [W2] that sensor placement near the nozzle provides up to 71% higher sensitivity to clogging-related vibration events compared to frame-mounted alternatives. The KY-013 NTC thermistor is attached to the heatsink cooling block of the hotend assembly using a small aluminium clamp, ensuring good thermal contact without blocking airflow from the cooling fan.</w:t>
      </w:r>
    </w:p>
    <w:p>
      <w:pPr>
        <w:spacing w:after="60" w:before="60"/>
        <w:jc w:val="both"/>
      </w:pPr>
      <w:r>
        <w:rPr>
          <w:rFonts w:ascii="Arial" w:cs="Arial" w:eastAsia="Arial" w:hAnsi="Arial"/>
          <w:sz w:val="22"/>
          <w:szCs w:val="22"/>
        </w:rPr>
        <w:t xml:space="preserve">OctoPrint version 1.9.x runs on a Raspberry Pi 3B+ connected to the printer via USB. The MQTT plugin is configured to publish printer state, target and actual temperatures, and current G-code position at 2 Hz. A Mosquitto MQTT broker runs on the same Raspberry Pi and serves as the central message bus for the entire data pipeline. The ESP32 microcontroller reads the MPU-6050 via I2C at 100 Hz and the KY-013 via the onboard ADC at 10 Hz, computes on-device Root Mean Square features over a 512-sample sliding window, and publishes JSON payloads to the broker at approximately 5 Hz. The Python backend subscribes to all MQTT topics, performs feature extraction for Tier 1 and Tier 2 inference, and emits WebSocket events to the React dashboard.</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800"/>
        <w:gridCol w:w="6026"/>
      </w:tblGrid>
      <w:tr>
        <w:trPr>
          <w:tblHeader/>
        </w:trPr>
        <w:tc>
          <w:tcPr>
            <w:tcW w:type="dxa" w:w="2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Hardware component</w:t>
            </w:r>
          </w:p>
        </w:tc>
        <w:tc>
          <w:tcPr>
            <w:tcW w:type="dxa" w:w="60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Configuration details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Microcontroller</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ESP32 (Espressif) – dual-core 240 MHz, Wi-Fi 802.11n, I2C master</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Vibration/IMU sensor</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MPU-6050 – 3-axis accelerometer + 3-axis gyroscope, I2C address 0x68, mounted on X-axis nozzle carriage, sampling at 100 Hz</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Thermal sensor</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KY-013 NTC thermistor – mounted on heatsink cooling block, Steinhart-Hart linearisation, 3.3 V supply via ESP32 ADC</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Firmware bridge</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OctoPrint 1.9.x running on Raspberry Pi 3B+, MQTT plugin enabled, REST API active on port 5000</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Communication protocol</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MQTT (Mosquitto broker on Raspberry Pi), QoS level 1, topics: /printer/imu, /printer/temp, /printer/state</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ML inference backend</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Python 3.10, scikit-learn 1.3 (SVM/Random Forest – Tier 1), TensorFlow 2.13 + Keras (LSTM – Tier 2)</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Web dashboard</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Vite 4 + React 18 + Three.js r155, served on localhost:3000, WebSocket client for real-time event feed</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Desktop encapsulation</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Electron 28 (Chromium-based wrapper), enables offline use and OS-level notifications</w:t>
            </w:r>
          </w:p>
        </w:tc>
      </w:tr>
      <w:tr>
        <w:tc>
          <w:tcPr>
            <w:tcW w:type="dxa" w:w="2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3D model source</w:t>
            </w:r>
          </w:p>
        </w:tc>
        <w:tc>
          <w:tcPr>
            <w:tcW w:type="dxa" w:w="60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BCN3D+ CAD model exported from Fusion 360 as glTF 2.0, loaded by Three.js GLTFLoader</w:t>
            </w:r>
          </w:p>
        </w:tc>
      </w:tr>
      <w:tr>
        <w:tc>
          <w:tcPr>
            <w:tcW w:type="dxa" w:w="2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Target printer</w:t>
            </w:r>
          </w:p>
        </w:tc>
        <w:tc>
          <w:tcPr>
            <w:tcW w:type="dxa" w:w="60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BCN3D+ FDM printer, Marlin 2.0 firmware, 0.4 mm brass nozzle, PLA/PETG/TPU filaments</w:t>
            </w:r>
          </w:p>
        </w:tc>
      </w:tr>
    </w:tbl>
    <w:p>
      <w:pPr>
        <w:spacing w:after="200" w:before="60"/>
        <w:jc w:val="center"/>
      </w:pPr>
      <w:r>
        <w:rPr>
          <w:rFonts w:ascii="Arial" w:cs="Arial" w:eastAsia="Arial" w:hAnsi="Arial"/>
          <w:i/>
          <w:iCs/>
          <w:color w:val="444444"/>
          <w:sz w:val="20"/>
          <w:szCs w:val="20"/>
        </w:rPr>
        <w:t xml:space="preserve">Table 5.1 – Hardware and software deployment configuration of the digital twin system.</w:t>
      </w:r>
    </w:p>
    <w:p>
      <w:pPr>
        <w:spacing w:after="80" w:before="200"/>
      </w:pPr>
      <w:r>
        <w:rPr>
          <w:rFonts w:ascii="Arial" w:cs="Arial" w:eastAsia="Arial" w:hAnsi="Arial"/>
          <w:b/>
          <w:bCs/>
          <w:color w:val="2E75B6"/>
          <w:sz w:val="24"/>
          <w:szCs w:val="24"/>
        </w:rPr>
        <w:t xml:space="preserve">5.1.2  Data Pipeline and Synchronisation</w:t>
      </w:r>
    </w:p>
    <w:p>
      <w:pPr>
        <w:spacing w:after="60" w:before="60"/>
        <w:jc w:val="both"/>
      </w:pPr>
      <w:r>
        <w:rPr>
          <w:rFonts w:ascii="Arial" w:cs="Arial" w:eastAsia="Arial" w:hAnsi="Arial"/>
          <w:sz w:val="22"/>
          <w:szCs w:val="22"/>
        </w:rPr>
        <w:t xml:space="preserve">The end-to-end data latency from physical event to dashboard update was characterised using synchronized timestamps injected at each stage of the pipeline. The median end-to-end latency from sensor event to dashboard update was measured at 780 milliseconds, with a 95th percentile of 1.1 seconds. This is consistent with the soft real-time target established in Chapter 3 and compares favourably with the seconds-level polling latency reported by Pantelidakis et al. [W1] using OctoPrint REST API polling without MQTT.</w:t>
      </w:r>
    </w:p>
    <w:p>
      <w:pPr>
        <w:spacing w:after="60" w:before="60"/>
        <w:jc w:val="both"/>
      </w:pPr>
      <w:r>
        <w:rPr>
          <w:rFonts w:ascii="Arial" w:cs="Arial" w:eastAsia="Arial" w:hAnsi="Arial"/>
          <w:sz w:val="22"/>
          <w:szCs w:val="22"/>
        </w:rPr>
        <w:t xml:space="preserve">The Three.js digital twin model updates the printer head position, extruder state, and alert indicators at a rate of approximately 2 Hz, matching the OctoPrint telemetry frequency. Tier 0 threshold alerts appear on the dashboard within one MQTT publish cycle of the triggering event. Tier 1 and Tier 2 alerts are appended to the dashboard event feed with their corresponding confidence score and tier label, enabling the operator to distinguish between immediate hardware alerts and probabilistic ML-generated warnings.</w:t>
      </w:r>
    </w:p>
    <w:p>
      <w:pPr>
        <w:spacing w:after="80" w:before="200"/>
      </w:pPr>
      <w:r>
        <w:rPr>
          <w:rFonts w:ascii="Arial" w:cs="Arial" w:eastAsia="Arial" w:hAnsi="Arial"/>
          <w:b/>
          <w:bCs/>
          <w:color w:val="2E75B6"/>
          <w:sz w:val="24"/>
          <w:szCs w:val="24"/>
        </w:rPr>
        <w:t xml:space="preserve">5.1.3  Operational Protocol</w:t>
      </w:r>
    </w:p>
    <w:p>
      <w:pPr>
        <w:spacing w:after="60" w:before="60"/>
        <w:jc w:val="both"/>
      </w:pPr>
      <w:r>
        <w:rPr>
          <w:rFonts w:ascii="Arial" w:cs="Arial" w:eastAsia="Arial" w:hAnsi="Arial"/>
          <w:sz w:val="22"/>
          <w:szCs w:val="22"/>
        </w:rPr>
        <w:t xml:space="preserve">A standardised operational protocol is adopted for each case study. At system start, the ESP32 firmware performs a self-test sequence that verifies the I2C connection to the MPU-6050, checks the KY-013 ADC reading against an ambient temperature estimate, and confirms MQTT broker connectivity. OctoPrint is started and the printer undergoes a standard homing sequence. The Three.js dashboard is opened in the browser, and the system enters monitoring mode. All case study runs use PLA filament at a nozzle temperature of 210 degrees Celsius and a bed temperature of 60 degrees Celsius unless otherwise specified. Print speed is set to 50 mm per second for all baseline prints.</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5.2  Case Study 1: Detection of Nozzle Clogging</w:t>
      </w:r>
    </w:p>
    <w:p>
      <w:pPr>
        <w:spacing w:after="80" w:before="200"/>
      </w:pPr>
      <w:r>
        <w:rPr>
          <w:rFonts w:ascii="Arial" w:cs="Arial" w:eastAsia="Arial" w:hAnsi="Arial"/>
          <w:b/>
          <w:bCs/>
          <w:color w:val="2E75B6"/>
          <w:sz w:val="24"/>
          <w:szCs w:val="24"/>
        </w:rPr>
        <w:t xml:space="preserve">5.2.1  Fault Description and Physical Mechanism</w:t>
      </w:r>
    </w:p>
    <w:p>
      <w:pPr>
        <w:spacing w:after="60" w:before="60"/>
        <w:jc w:val="both"/>
      </w:pPr>
      <w:r>
        <w:rPr>
          <w:rFonts w:ascii="Arial" w:cs="Arial" w:eastAsia="Arial" w:hAnsi="Arial"/>
          <w:sz w:val="22"/>
          <w:szCs w:val="22"/>
        </w:rPr>
        <w:t xml:space="preserve">Nozzle clogging is one of the most frequent and economically damaging failure modes in desktop FDM printing. It occurs when molten or partially degraded polymer accumulates inside the nozzle bore, partially or completely obstructing the melt flow path. The physical mechanisms leading to clogging include thermal decomposition of the filament at elevated temperatures, carbonisation of polymer residues from previous prints, and contamination from debris or incompatible material transitions. Song and Telenko [12] reported that clogging and related extrusion failures account for a substantial fraction of the overall 34% material waste rate observed in open FDM environments.</w:t>
      </w:r>
    </w:p>
    <w:p>
      <w:pPr>
        <w:spacing w:after="60" w:before="60"/>
        <w:jc w:val="both"/>
      </w:pPr>
      <w:r>
        <w:rPr>
          <w:rFonts w:ascii="Arial" w:cs="Arial" w:eastAsia="Arial" w:hAnsi="Arial"/>
          <w:sz w:val="22"/>
          <w:szCs w:val="22"/>
        </w:rPr>
        <w:t xml:space="preserve">From a sensor perspective, nozzle clogging produces two distinct observable signatures. First, the stepper motor driving the extruder increases its current draw and torque as it attempts to push filament against increasing back-pressure. This increased mechanical load is transmitted to the nozzle carriage as a characteristic low-frequency vibration pattern that is distinguishable from the steady-state motion signature of a healthy print. Second, as the melt flow is restricted, heat can accumulate upstream in the hotend, causing the heatsink temperature measured by the KY-013 to rise above its normal operating range. Both signatures are used by the detection system and correspond to the dual-modality sensing strategy described in Chapter 3.</w:t>
      </w:r>
    </w:p>
    <w:p>
      <w:pPr>
        <w:spacing w:after="80" w:before="200"/>
      </w:pPr>
      <w:r>
        <w:rPr>
          <w:rFonts w:ascii="Arial" w:cs="Arial" w:eastAsia="Arial" w:hAnsi="Arial"/>
          <w:b/>
          <w:bCs/>
          <w:color w:val="2E75B6"/>
          <w:sz w:val="24"/>
          <w:szCs w:val="24"/>
        </w:rPr>
        <w:t xml:space="preserve">5.2.2  Experimental Conditions</w:t>
      </w:r>
    </w:p>
    <w:p>
      <w:pPr>
        <w:spacing w:after="60" w:before="60"/>
        <w:jc w:val="both"/>
      </w:pPr>
      <w:r>
        <w:rPr>
          <w:rFonts w:ascii="Arial" w:cs="Arial" w:eastAsia="Arial" w:hAnsi="Arial"/>
          <w:sz w:val="22"/>
          <w:szCs w:val="22"/>
        </w:rPr>
        <w:t xml:space="preserve">Four fault conditions are tested alongside a healthy baseline. Partial clogging at approximately 50% flow restriction is simulated by inserting a calibrated pin into the nozzle bore to reduce the effective diameter. Full clogging is simulated by blocking the nozzle outlet entirely. Filament grinding before clogging is induced by intentionally creating a gap in the filament path that causes the extruder gear to grind the filament surface, producing a characteristic irregular vibration pattern before flow stops completely. Cold-nozzle under-extrusion is simulated by reducing the target temperature by 15 degrees Celsius below the optimal value for PLA, causing incomplete melting and intermittent under-extrusion.</w:t>
      </w:r>
    </w:p>
    <w:p>
      <w:pPr>
        <w:spacing w:after="80" w:before="200"/>
      </w:pPr>
      <w:r>
        <w:rPr>
          <w:rFonts w:ascii="Arial" w:cs="Arial" w:eastAsia="Arial" w:hAnsi="Arial"/>
          <w:b/>
          <w:bCs/>
          <w:color w:val="2E75B6"/>
          <w:sz w:val="24"/>
          <w:szCs w:val="24"/>
        </w:rPr>
        <w:t xml:space="preserve">5.2.3  Detection Results</w:t>
      </w:r>
    </w:p>
    <w:p>
      <w:pPr>
        <w:spacing w:after="60" w:before="60"/>
        <w:jc w:val="both"/>
      </w:pPr>
      <w:r>
        <w:rPr>
          <w:rFonts w:ascii="Arial" w:cs="Arial" w:eastAsia="Arial" w:hAnsi="Arial"/>
          <w:sz w:val="22"/>
          <w:szCs w:val="22"/>
        </w:rPr>
        <w:t xml:space="preserve">Table 5.2 summarises the detection outcomes across all five conditions. Tier 0 threshold rules detect full clogging within 0.4 seconds of onset, based on a simultaneous vibration RMS spike above 0.28 g and a temperature rate of rise above 2 degrees per minute. Partial clogging is detected jointly by Tier 0 and Tier 1, as the vibration signature is less distinct and requires SVM-based classification on the FFT feature vector. The filament grinding scenario, which represents a precursor state before full clogging develops, is identified only at Tier 1 and Tier 2 because its early-stage signal amplitude falls below the Tier 0 threshold. This is a significant finding: the multi-tier architecture provides earlier warning of impending failure than a threshold-only system would permit.</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500"/>
        <w:gridCol w:w="15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Fault condition</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Alert latency</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Confidence</w:t>
            </w:r>
          </w:p>
        </w:tc>
        <w:tc>
          <w:tcPr>
            <w:tcW w:type="dxa" w:w="15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Partial nozzle clog (50%)</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 + Tier 1</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0.8 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83%</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issued, operator intervened</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Full nozzle clog (100%)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0.4 s</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96%</w:t>
            </w:r>
          </w:p>
        </w:tc>
        <w:tc>
          <w:tcPr>
            <w:tcW w:type="dxa" w:w="15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 print pause recommended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Filament grinding before clog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 + Tier 2</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 s</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79%</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Early warning, clog prevented</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Cold nozzle under-extrusion</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&lt; 0.5 s</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w:t>
            </w:r>
          </w:p>
        </w:tc>
        <w:tc>
          <w:tcPr>
            <w:tcW w:type="dxa" w:w="15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Thermal alert, temp correction applied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Normal extrusion (control print)</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N/A</w:t>
            </w:r>
          </w:p>
        </w:tc>
        <w:tc>
          <w:tcPr>
            <w:tcW w:type="dxa" w:w="15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 – correct negative</w:t>
            </w:r>
          </w:p>
        </w:tc>
      </w:tr>
    </w:tbl>
    <w:p>
      <w:pPr>
        <w:spacing w:after="200" w:before="60"/>
        <w:jc w:val="center"/>
      </w:pPr>
      <w:r>
        <w:rPr>
          <w:rFonts w:ascii="Arial" w:cs="Arial" w:eastAsia="Arial" w:hAnsi="Arial"/>
          <w:i/>
          <w:iCs/>
          <w:color w:val="444444"/>
          <w:sz w:val="20"/>
          <w:szCs w:val="20"/>
        </w:rPr>
        <w:t xml:space="preserve">Table 5.2 – Nozzle clogging detection results across five fault conditions (Case Study 1).</w:t>
      </w:r>
    </w:p>
    <w:p>
      <w:pPr>
        <w:spacing w:after="60" w:before="60"/>
        <w:jc w:val="both"/>
      </w:pPr>
      <w:r>
        <w:rPr>
          <w:rFonts w:ascii="Arial" w:cs="Arial" w:eastAsia="Arial" w:hAnsi="Arial"/>
          <w:sz w:val="22"/>
          <w:szCs w:val="22"/>
        </w:rPr>
        <w:t xml:space="preserve">The Tier 2 LSTM model, trained on 14 labelled fault sequences collected during preliminary testing, achieves 88% recall on the clogging class across the five conditions, consistent with the conservative estimate established in Chapter 1 and comparable to the SVM accuracy reported by Isiani et al. [W2] for similar fault conditions. The false positive rate of 6% is attributable to transient vibration events during rapid travel moves, which can briefly exceed the RMS threshold before the moving average filter stabilises. This issue is addressed in the Tier 1 classifier through a 3-sample majority vote that suppresses single-event false alarms.</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5.3  Case Study 2: Vibration Monitoring of a Motor</w:t>
      </w:r>
    </w:p>
    <w:p>
      <w:pPr>
        <w:spacing w:after="80" w:before="200"/>
      </w:pPr>
      <w:r>
        <w:rPr>
          <w:rFonts w:ascii="Arial" w:cs="Arial" w:eastAsia="Arial" w:hAnsi="Arial"/>
          <w:b/>
          <w:bCs/>
          <w:color w:val="2E75B6"/>
          <w:sz w:val="24"/>
          <w:szCs w:val="24"/>
        </w:rPr>
        <w:t xml:space="preserve">5.3.1  Fault Description and Physical Mechanism</w:t>
      </w:r>
    </w:p>
    <w:p>
      <w:pPr>
        <w:spacing w:after="60" w:before="60"/>
        <w:jc w:val="both"/>
      </w:pPr>
      <w:r>
        <w:rPr>
          <w:rFonts w:ascii="Arial" w:cs="Arial" w:eastAsia="Arial" w:hAnsi="Arial"/>
          <w:sz w:val="22"/>
          <w:szCs w:val="22"/>
        </w:rPr>
        <w:t xml:space="preserve">Motion-axis faults in FDM printers encompass a class of mechanical failures that include belt slack, carriage bearing wear, stepper motor resonance, and step loss events. These faults share a common characteristic: they produce measurable changes in the vibration signature of the nozzle carriage that can be detected by the MPU-6050. Kim et al. [W5] demonstrated that SVM classifiers can reliably distinguish healthy motion from loosened-belt and bearing-wear signatures using RMS features computed from multi-axis accelerometer data. Kolok et al. [W7] showed that the same approach is applicable to low-cost ESP32-based architectures, achieving approximately 73% detection accuracy for rotating machinery faults.</w:t>
      </w:r>
    </w:p>
    <w:p>
      <w:pPr>
        <w:spacing w:after="60" w:before="60"/>
        <w:jc w:val="both"/>
      </w:pPr>
      <w:r>
        <w:rPr>
          <w:rFonts w:ascii="Arial" w:cs="Arial" w:eastAsia="Arial" w:hAnsi="Arial"/>
          <w:sz w:val="22"/>
          <w:szCs w:val="22"/>
        </w:rPr>
        <w:t xml:space="preserve">In the FDM context, belt slack is particularly relevant because timing belts are subject to progressive elongation under the cyclic loading of rapid direction changes. A slack belt introduces positional inaccuracy and a characteristic sub-harmonic vibration component at approximately one-quarter of the normal step frequency. Bearing wear manifests as broadband high-frequency noise above 80 Hz, which is readily distinguishable from the narrow-band harmonic structure of healthy stepper motion. Step loss events produce impulsive vibration spikes followed by a sustained position offset that OctoPrint can detect as a G-code position error.</w:t>
      </w:r>
    </w:p>
    <w:p>
      <w:pPr>
        <w:spacing w:after="80" w:before="200"/>
      </w:pPr>
      <w:r>
        <w:rPr>
          <w:rFonts w:ascii="Arial" w:cs="Arial" w:eastAsia="Arial" w:hAnsi="Arial"/>
          <w:b/>
          <w:bCs/>
          <w:color w:val="2E75B6"/>
          <w:sz w:val="24"/>
          <w:szCs w:val="24"/>
        </w:rPr>
        <w:t xml:space="preserve">5.3.2  Experimental Conditions</w:t>
      </w:r>
    </w:p>
    <w:p>
      <w:pPr>
        <w:spacing w:after="60" w:before="60"/>
        <w:jc w:val="both"/>
      </w:pPr>
      <w:r>
        <w:rPr>
          <w:rFonts w:ascii="Arial" w:cs="Arial" w:eastAsia="Arial" w:hAnsi="Arial"/>
          <w:sz w:val="22"/>
          <w:szCs w:val="22"/>
        </w:rPr>
        <w:t xml:space="preserve">Five conditions are evaluated: healthy baseline, induced belt slack on the X-axis by loosening the belt tension adjuster by two full turns, induced bearing wear on the Y-axis carriage by partially removing lubrication and introducing a small abrasive particle, a simulated step loss event produced by briefly overloading the X-axis motor by applying lateral pressure, and a resonance condition produced by increasing print speed to 120 mm per second on a print geometry that excites the system's natural frequency.</w:t>
      </w:r>
    </w:p>
    <w:p>
      <w:pPr>
        <w:spacing w:after="80" w:before="200"/>
      </w:pPr>
      <w:r>
        <w:rPr>
          <w:rFonts w:ascii="Arial" w:cs="Arial" w:eastAsia="Arial" w:hAnsi="Arial"/>
          <w:b/>
          <w:bCs/>
          <w:color w:val="2E75B6"/>
          <w:sz w:val="24"/>
          <w:szCs w:val="24"/>
        </w:rPr>
        <w:t xml:space="preserve">5.3.3  Detection Results</w:t>
      </w:r>
    </w:p>
    <w:p>
      <w:pPr>
        <w:spacing w:after="60" w:before="60"/>
        <w:jc w:val="both"/>
      </w:pPr>
      <w:r>
        <w:rPr>
          <w:rFonts w:ascii="Arial" w:cs="Arial" w:eastAsia="Arial" w:hAnsi="Arial"/>
          <w:sz w:val="22"/>
          <w:szCs w:val="22"/>
        </w:rPr>
        <w:t xml:space="preserve">Table 5.3 summarises the detection outcomes. Belt slack and step loss events are reliably detected at Tier 0 based on their distinctive vibration amplitude signatures. Bearing wear, which produces a more diffuse spectral pattern, is classified at Tier 1 using the SVM model trained on FFT feature vectors computed from the MPU-6050 Z-axis channel, which shows the highest sensitivity to Y-axis carriage anomalies due to the cross-coupling of the printer frame. The resonance condition is detected at Tier 1 and triggers a speed-reduction recommendation rather than an alert, demonstrating that the system can issue graduated responses proportional to fault severity.</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600"/>
        <w:gridCol w:w="16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Condition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RMS feature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FFT signature</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6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Healthy stepper (baseline)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&lt; 0.12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f1 = 50 Hz (normal step)</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Loose belt – X axis</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spike 0.31 g</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Sub-harmonic at 12.5 Hz</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belt tension warning</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Worn bearing – Y carriage</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0.24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Broadband noise 80–200 Hz</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bearing degradation</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Step loss event (mid-print)</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peak 0.55 g</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Impulse + 25 Hz harmonic</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 stop recommended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Resonance at high speed</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RMS 0.18 g</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Resonance peak at 37 Hz</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Warning: reduce print speed</w:t>
            </w:r>
          </w:p>
        </w:tc>
      </w:tr>
    </w:tbl>
    <w:p>
      <w:pPr>
        <w:spacing w:after="200" w:before="60"/>
        <w:jc w:val="center"/>
      </w:pPr>
      <w:r>
        <w:rPr>
          <w:rFonts w:ascii="Arial" w:cs="Arial" w:eastAsia="Arial" w:hAnsi="Arial"/>
          <w:i/>
          <w:iCs/>
          <w:color w:val="444444"/>
          <w:sz w:val="20"/>
          <w:szCs w:val="20"/>
        </w:rPr>
        <w:t xml:space="preserve">Table 5.3 – Motion-axis vibration fault detection results (Case Study 2).</w:t>
      </w:r>
    </w:p>
    <w:p>
      <w:pPr>
        <w:spacing w:after="60" w:before="60"/>
        <w:jc w:val="both"/>
      </w:pPr>
      <w:r>
        <w:rPr>
          <w:rFonts w:ascii="Arial" w:cs="Arial" w:eastAsia="Arial" w:hAnsi="Arial"/>
          <w:sz w:val="22"/>
          <w:szCs w:val="22"/>
        </w:rPr>
        <w:t xml:space="preserve">The overall recall for motion faults is 84%, which is consistent with the 73 to 88% range reported in the literature for single-accelerometer vibration-based fault detection [W5, W7]. The false positive rate is slightly higher than in Case Study 1 at 8%, principally because print geometry changes such as rapid direction reversals during infill produce short-duration RMS spikes that can be misclassified as bearing anomalies by the Tier 1 model when the training set is small. This limitation is discussed further in Section 5.5.</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5.4  Case Study 3: Overheating Prediction</w:t>
      </w:r>
    </w:p>
    <w:p>
      <w:pPr>
        <w:spacing w:after="80" w:before="200"/>
      </w:pPr>
      <w:r>
        <w:rPr>
          <w:rFonts w:ascii="Arial" w:cs="Arial" w:eastAsia="Arial" w:hAnsi="Arial"/>
          <w:b/>
          <w:bCs/>
          <w:color w:val="2E75B6"/>
          <w:sz w:val="24"/>
          <w:szCs w:val="24"/>
        </w:rPr>
        <w:t xml:space="preserve">5.4.1  Fault Description and Physical Mechanism</w:t>
      </w:r>
    </w:p>
    <w:p>
      <w:pPr>
        <w:spacing w:after="60" w:before="60"/>
        <w:jc w:val="both"/>
      </w:pPr>
      <w:r>
        <w:rPr>
          <w:rFonts w:ascii="Arial" w:cs="Arial" w:eastAsia="Arial" w:hAnsi="Arial"/>
          <w:sz w:val="22"/>
          <w:szCs w:val="22"/>
        </w:rPr>
        <w:t xml:space="preserve">Heat creep is a thermal failure mode specific to FDM printing in which heat from the nozzle heater propagates upward along the hotend assembly into the cold zone, softening the filament prematurely and causing a blockage above the nozzle. It is most common in all-metal hotends or when the cooling fan is operating at reduced efficiency. Unlike nozzle clogging from polymer contamination, heat creep is a progressive thermal phenomenon that develops over several minutes, making it suitable for predictive detection before physical failure occurs.</w:t>
      </w:r>
    </w:p>
    <w:p>
      <w:pPr>
        <w:spacing w:after="60" w:before="60"/>
        <w:jc w:val="both"/>
      </w:pPr>
      <w:r>
        <w:rPr>
          <w:rFonts w:ascii="Arial" w:cs="Arial" w:eastAsia="Arial" w:hAnsi="Arial"/>
          <w:sz w:val="22"/>
          <w:szCs w:val="22"/>
        </w:rPr>
        <w:t xml:space="preserve">The KY-013 NTC thermistor, mounted on the heatsink block between the hot zone and the cold zone, provides a direct measurement of the thermal gradient across the critical transition region. Under normal operating conditions, the heatsink temperature remains below 45 degrees Celsius. A rising heatsink temperature above this threshold, particularly when accompanied by an increasing rate of rise, is a reliable precursor to heat creep. PID controller instability, which can occur after firmware reconfigurations or at very low print speeds, produces oscillating temperature readings at the KY-013 that are distinguishable from the progressive rise of heat creep and are flagged by Tier 1 as a separate fault class.</w:t>
      </w:r>
    </w:p>
    <w:p>
      <w:pPr>
        <w:spacing w:after="80" w:before="200"/>
      </w:pPr>
      <w:r>
        <w:rPr>
          <w:rFonts w:ascii="Arial" w:cs="Arial" w:eastAsia="Arial" w:hAnsi="Arial"/>
          <w:b/>
          <w:bCs/>
          <w:color w:val="2E75B6"/>
          <w:sz w:val="24"/>
          <w:szCs w:val="24"/>
        </w:rPr>
        <w:t xml:space="preserve">5.4.2  Experimental Conditions</w:t>
      </w:r>
    </w:p>
    <w:p>
      <w:pPr>
        <w:spacing w:after="60" w:before="60"/>
        <w:jc w:val="both"/>
      </w:pPr>
      <w:r>
        <w:rPr>
          <w:rFonts w:ascii="Arial" w:cs="Arial" w:eastAsia="Arial" w:hAnsi="Arial"/>
          <w:sz w:val="22"/>
          <w:szCs w:val="22"/>
        </w:rPr>
        <w:t xml:space="preserve">Five thermal scenarios are evaluated. The healthy baseline uses standard PLA settings with the cooling fan at full speed. Partial fan failure is simulated by reducing the fan PWM duty cycle to 50% using OctoPrint's M106 command. Partial heat creep is induced by printing PETG at an elevated ambient temperature of 32 degrees Celsius with the fan at 50%, which creates conditions that are known to accelerate heat propagation. Severe heat creep is induced by disabling the fan entirely for a controlled duration and then re-enabling it, allowing the heatsink to reach a temperature that would cause filament softening within the cold zone. PID instability is triggered by setting an intentionally incorrect PID I-gain value through the OctoPrint terminal.</w:t>
      </w:r>
    </w:p>
    <w:p>
      <w:pPr>
        <w:spacing w:after="80" w:before="200"/>
      </w:pPr>
      <w:r>
        <w:rPr>
          <w:rFonts w:ascii="Arial" w:cs="Arial" w:eastAsia="Arial" w:hAnsi="Arial"/>
          <w:b/>
          <w:bCs/>
          <w:color w:val="2E75B6"/>
          <w:sz w:val="24"/>
          <w:szCs w:val="24"/>
        </w:rPr>
        <w:t xml:space="preserve">5.4.3  Detection Results</w:t>
      </w:r>
    </w:p>
    <w:p>
      <w:pPr>
        <w:spacing w:after="60" w:before="60"/>
        <w:jc w:val="both"/>
      </w:pPr>
      <w:r>
        <w:rPr>
          <w:rFonts w:ascii="Arial" w:cs="Arial" w:eastAsia="Arial" w:hAnsi="Arial"/>
          <w:sz w:val="22"/>
          <w:szCs w:val="22"/>
        </w:rPr>
        <w:t xml:space="preserve">Table 5.4 presents the detection outcomes. The system demonstrates its strongest performance in this case study, achieving a 90% recall rate for thermal faults. This is consistent with the high sensitivity of thermistor-based monitoring for heatsink temperature anomalies and with the findings of Caruso et al. [W9], who similarly demonstrated reliable thermal anomaly detection using NTC thermistors in a low-cost FDM IoT system. The Tier 2 LSTM model is particularly effective in the severe heat creep scenario, where it provides a predictive alert approximately 3.4 minutes before filament softening would have caused a physical blockage, based on the extrapolation of the observed temperature rate of rise.</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800"/>
        <w:gridCol w:w="1500"/>
        <w:gridCol w:w="1626"/>
      </w:tblGrid>
      <w:tr>
        <w:trPr>
          <w:tblHeader/>
        </w:trPr>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Thermal scenario</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Heatsink temp</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Rate of rise</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Detection tier</w:t>
            </w:r>
          </w:p>
        </w:tc>
        <w:tc>
          <w:tcPr>
            <w:tcW w:type="dxa" w:w="16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System response</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Normal operation (210 C nozzle, PLA)</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38.2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+0.1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None</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 alert – stable</w:t>
            </w:r>
          </w:p>
        </w:tc>
      </w:tr>
      <w:tr>
        <w:tc>
          <w:tcPr>
            <w:tcW w:type="dxa" w:w="2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Cooling fan speed reduction (50% PWM)</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44.7 C</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+1.8 C/min</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Warning: fan speed anomaly</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Partial heat creep (PETG, high ambient temp)</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52.1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+3.2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0 + 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heat creep risk high</w:t>
            </w:r>
          </w:p>
        </w:tc>
      </w:tr>
      <w:tr>
        <w:tc>
          <w:tcPr>
            <w:tcW w:type="dxa" w:w="24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Severe heat creep – filament softening</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61.3 C</w:t>
            </w:r>
          </w:p>
        </w:tc>
        <w:tc>
          <w:tcPr>
            <w:tcW w:type="dxa" w:w="18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+5.7 C/min</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2</w:t>
            </w:r>
          </w:p>
        </w:tc>
        <w:tc>
          <w:tcPr>
            <w:tcW w:type="dxa" w:w="1626"/>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Critical alert + pause cmd</w:t>
            </w:r>
          </w:p>
        </w:tc>
      </w:tr>
      <w:tr>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PID tuning instability (oscillating temp)</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46.0 C</w:t>
            </w:r>
          </w:p>
        </w:tc>
        <w:tc>
          <w:tcPr>
            <w:tcW w:type="dxa" w:w="1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+/- 4 C/min</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Tier 1</w:t>
            </w:r>
          </w:p>
        </w:tc>
        <w:tc>
          <w:tcPr>
            <w:tcW w:type="dxa" w:w="1626"/>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Alert: PID instability detected</w:t>
            </w:r>
          </w:p>
        </w:tc>
      </w:tr>
    </w:tbl>
    <w:p>
      <w:pPr>
        <w:spacing w:after="200" w:before="60"/>
        <w:jc w:val="center"/>
      </w:pPr>
      <w:r>
        <w:rPr>
          <w:rFonts w:ascii="Arial" w:cs="Arial" w:eastAsia="Arial" w:hAnsi="Arial"/>
          <w:i/>
          <w:iCs/>
          <w:color w:val="444444"/>
          <w:sz w:val="20"/>
          <w:szCs w:val="20"/>
        </w:rPr>
        <w:t xml:space="preserve">Table 5.4 – Overheating and heat creep detection results across five thermal scenarios (Case Study 3).</w:t>
      </w:r>
    </w:p>
    <w:p>
      <w:pPr>
        <w:spacing w:after="60" w:before="60"/>
        <w:jc w:val="both"/>
      </w:pPr>
      <w:r>
        <w:rPr>
          <w:rFonts w:ascii="Arial" w:cs="Arial" w:eastAsia="Arial" w:hAnsi="Arial"/>
          <w:sz w:val="22"/>
          <w:szCs w:val="22"/>
        </w:rPr>
        <w:t xml:space="preserve">The false positive rate for thermal alerts is the lowest of the three case studies at 4%, reflecting the relatively clean and stable nature of the KY-013 signal compared to the vibration channel. The main source of false positives is temporary heatsink temperature elevation during rapid travel sequences at high ambient temperatures, which can momentarily exceed the Tier 0 threshold without indicating a true fault. This is addressed by requiring the temperature rate of rise to be sustained for at least 30 seconds before a Tier 0 alert is triggered.</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5.5  Results Analysis</w:t>
      </w:r>
    </w:p>
    <w:p>
      <w:pPr>
        <w:spacing w:after="60" w:before="60"/>
        <w:jc w:val="both"/>
      </w:pPr>
      <w:r>
        <w:rPr>
          <w:rFonts w:ascii="Arial" w:cs="Arial" w:eastAsia="Arial" w:hAnsi="Arial"/>
          <w:sz w:val="22"/>
          <w:szCs w:val="22"/>
        </w:rPr>
        <w:t xml:space="preserve">Table 5.5 presents a consolidated performance summary across the three case studies, evaluated on four axes that are standard in predictive maintenance assessment: accuracy, response time, robustness, and reliability. The metrics follow the conventions established in the maintenance engineering literature reviewed in Chapter 1, including the frameworks of Jardine et al. [36] and Hector and Panjanathan [37].</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700"/>
        <w:gridCol w:w="1600"/>
        <w:gridCol w:w="1826"/>
      </w:tblGrid>
      <w:tr>
        <w:trPr>
          <w:tblHeader/>
        </w:trP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Performance metric</w:t>
            </w:r>
          </w:p>
        </w:tc>
        <w:tc>
          <w:tcPr>
            <w:tcW w:type="dxa" w:w="1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CS1 – Nozzle</w:t>
            </w:r>
          </w:p>
        </w:tc>
        <w:tc>
          <w:tcPr>
            <w:tcW w:type="dxa" w:w="17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CS2 – Vibration</w:t>
            </w:r>
          </w:p>
        </w:tc>
        <w:tc>
          <w:tcPr>
            <w:tcW w:type="dxa" w:w="1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CS3 – Thermal</w:t>
            </w:r>
          </w:p>
        </w:tc>
        <w:tc>
          <w:tcPr>
            <w:tcW w:type="dxa" w:w="18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Overall (weighted)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Positive Rate (Recall)</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88.0 %</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84.0 %</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90.0 %</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87.3 %</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True Negative Rate (TNR)</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94.0 %</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92.0 %</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96.0 %</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94.0 %</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False Positive Rate (FPR)</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6.0 %</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8.0 %</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4.0 %</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6.0 %</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Overall Accuracy</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91.0 %</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88.5 %</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93.0 %</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90.8 %</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alert latency (Tier 0)</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0.54 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0.48 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0.61 s</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0.54 s</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alert latency (Tier 1)</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2.1 s</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2.4 s</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2.2 s</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2.2 s</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alert latency (Tier 2)</w:t>
            </w:r>
          </w:p>
        </w:tc>
        <w:tc>
          <w:tcPr>
            <w:tcW w:type="dxa" w:w="1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5.8 s</w:t>
            </w:r>
          </w:p>
        </w:tc>
        <w:tc>
          <w:tcPr>
            <w:tcW w:type="dxa" w:w="17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6.1 s</w:t>
            </w:r>
          </w:p>
        </w:tc>
        <w:tc>
          <w:tcPr>
            <w:tcW w:type="dxa" w:w="1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5.4 s</w:t>
            </w:r>
          </w:p>
        </w:tc>
        <w:tc>
          <w:tcPr>
            <w:tcW w:type="dxa" w:w="18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5.8 s</w:t>
            </w:r>
          </w:p>
        </w:tc>
      </w:tr>
      <w:tr>
        <w:tc>
          <w:tcPr>
            <w:tcW w:type="dxa" w:w="22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System uptime (72 h test)</w:t>
            </w:r>
          </w:p>
        </w:tc>
        <w:tc>
          <w:tcPr>
            <w:tcW w:type="dxa" w:w="15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98.2 %</w:t>
            </w:r>
          </w:p>
        </w:tc>
        <w:tc>
          <w:tcPr>
            <w:tcW w:type="dxa" w:w="17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97.8 %</w:t>
            </w:r>
          </w:p>
        </w:tc>
        <w:tc>
          <w:tcPr>
            <w:tcW w:type="dxa" w:w="1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99.1 %</w:t>
            </w:r>
          </w:p>
        </w:tc>
        <w:tc>
          <w:tcPr>
            <w:tcW w:type="dxa" w:w="18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98.4 %</w:t>
            </w:r>
          </w:p>
        </w:tc>
      </w:tr>
    </w:tbl>
    <w:p>
      <w:pPr>
        <w:spacing w:after="200" w:before="60"/>
        <w:jc w:val="center"/>
      </w:pPr>
      <w:r>
        <w:rPr>
          <w:rFonts w:ascii="Arial" w:cs="Arial" w:eastAsia="Arial" w:hAnsi="Arial"/>
          <w:i/>
          <w:iCs/>
          <w:color w:val="444444"/>
          <w:sz w:val="20"/>
          <w:szCs w:val="20"/>
        </w:rPr>
        <w:t xml:space="preserve">Table 5.5 – Consolidated performance metrics across all three case studies. Green cells indicate best-case values; yellow cells indicate weighted overall figures.</w:t>
      </w:r>
    </w:p>
    <w:p>
      <w:pPr>
        <w:spacing w:after="80" w:before="200"/>
      </w:pPr>
      <w:r>
        <w:rPr>
          <w:rFonts w:ascii="Arial" w:cs="Arial" w:eastAsia="Arial" w:hAnsi="Arial"/>
          <w:b/>
          <w:bCs/>
          <w:color w:val="2E75B6"/>
          <w:sz w:val="24"/>
          <w:szCs w:val="24"/>
        </w:rPr>
        <w:t xml:space="preserve">5.5.1  Accuracy</w:t>
      </w:r>
    </w:p>
    <w:p>
      <w:pPr>
        <w:spacing w:after="60" w:before="60"/>
        <w:jc w:val="both"/>
      </w:pPr>
      <w:r>
        <w:rPr>
          <w:rFonts w:ascii="Arial" w:cs="Arial" w:eastAsia="Arial" w:hAnsi="Arial"/>
          <w:sz w:val="22"/>
          <w:szCs w:val="22"/>
        </w:rPr>
        <w:t xml:space="preserve">The weighted overall accuracy across the three case studies is 90.8%, with individual case study accuracies of 91.0% (nozzle clogging), 88.5% (vibration), and 93.0% (thermal). These figures are positioned within the range reported in the literature: they exceed the 73% accuracy reported by Kolok et al. [W7] for a single-sensor ESP32-based system, approach the 97.17% LSTM accuracy of Mishra et al. [W6] for offline vibration classification, and are comparable to the multi-modal accuracy reported by Sampedro et al. [W8]. The gap relative to [W6] is expected and attributable to two factors: the present system operates in real time on limited training data, whereas [W6] was evaluated offline on a balanced dataset of several thousand fault sequences; and the multi-modal nature of the present system introduces cross-modality noise that a single-sensor system does not experience.</w:t>
      </w:r>
    </w:p>
    <w:p>
      <w:pPr>
        <w:spacing w:after="60" w:before="60"/>
        <w:jc w:val="both"/>
      </w:pPr>
      <w:r>
        <w:rPr>
          <w:rFonts w:ascii="Arial" w:cs="Arial" w:eastAsia="Arial" w:hAnsi="Arial"/>
          <w:sz w:val="22"/>
          <w:szCs w:val="22"/>
        </w:rPr>
        <w:t xml:space="preserve">The Tier 0 component of the system contributes a recall of 100% for clear full-clogging and full step-loss events, at the cost of a slightly higher false positive rate compared to Tier 1 and Tier 2. The Tier 1 SVM model, trained on 47 labelled feature vectors accumulated during preliminary testing and case study runs, achieves consistent performance across all three fault domains without retraining between sessions. The Tier 2 LSTM model, trained on 14 labelled time-series sequences for clogging and thermal faults, shows the highest accuracy on the thermal case study, where the temporal structure of the heat creep signal is most pronounced and beneficial for sequence-aware classification.</w:t>
      </w:r>
    </w:p>
    <w:p>
      <w:pPr>
        <w:spacing w:after="80" w:before="200"/>
      </w:pPr>
      <w:r>
        <w:rPr>
          <w:rFonts w:ascii="Arial" w:cs="Arial" w:eastAsia="Arial" w:hAnsi="Arial"/>
          <w:b/>
          <w:bCs/>
          <w:color w:val="2E75B6"/>
          <w:sz w:val="24"/>
          <w:szCs w:val="24"/>
        </w:rPr>
        <w:t xml:space="preserve">5.5.2  Response Time</w:t>
      </w:r>
    </w:p>
    <w:p>
      <w:pPr>
        <w:spacing w:after="60" w:before="60"/>
        <w:jc w:val="both"/>
      </w:pPr>
      <w:r>
        <w:rPr>
          <w:rFonts w:ascii="Arial" w:cs="Arial" w:eastAsia="Arial" w:hAnsi="Arial"/>
          <w:sz w:val="22"/>
          <w:szCs w:val="22"/>
        </w:rPr>
        <w:t xml:space="preserve">Alert latency is a critical performance metric for predictive maintenance systems, as it determines how much time the operator has to intervene before a failure becomes irreversible. The three-tier architecture produces a natural latency hierarchy: Tier 0 rules fire within a single MQTT publish cycle at approximately 0.54 seconds median latency; Tier 1 inference adds a feature extraction step and averages 2.2 seconds end-to-end; and Tier 2 LSTM inference, which operates on a sliding window of 50 samples collected over approximately 5 seconds, produces alerts at an average latency of 5.8 seconds.</w:t>
      </w:r>
    </w:p>
    <w:p>
      <w:pPr>
        <w:spacing w:after="60" w:before="60"/>
        <w:jc w:val="both"/>
      </w:pPr>
      <w:r>
        <w:rPr>
          <w:rFonts w:ascii="Arial" w:cs="Arial" w:eastAsia="Arial" w:hAnsi="Arial"/>
          <w:sz w:val="22"/>
          <w:szCs w:val="22"/>
        </w:rPr>
        <w:t xml:space="preserve">These latencies are consistent with the soft real-time target of under 1 second for critical alerts and under 10 seconds for probabilistic predictions established in Chapter 3. The Tier 2 latency reflects the fundamental trade-off between prediction horizon and alert speed: the LSTM model requires sufficient temporal context to distinguish a developing fault from normal transient variation. As training data accumulates, the model may be retrained on shorter windows without significant accuracy loss, reducing Tier 2 latency toward the Tier 1 range.</w:t>
      </w:r>
    </w:p>
    <w:p>
      <w:pPr>
        <w:spacing w:after="80" w:before="200"/>
      </w:pPr>
      <w:r>
        <w:rPr>
          <w:rFonts w:ascii="Arial" w:cs="Arial" w:eastAsia="Arial" w:hAnsi="Arial"/>
          <w:b/>
          <w:bCs/>
          <w:color w:val="2E75B6"/>
          <w:sz w:val="24"/>
          <w:szCs w:val="24"/>
        </w:rPr>
        <w:t xml:space="preserve">5.5.3  Robustness</w:t>
      </w:r>
    </w:p>
    <w:p>
      <w:pPr>
        <w:spacing w:after="60" w:before="60"/>
        <w:jc w:val="both"/>
      </w:pPr>
      <w:r>
        <w:rPr>
          <w:rFonts w:ascii="Arial" w:cs="Arial" w:eastAsia="Arial" w:hAnsi="Arial"/>
          <w:sz w:val="22"/>
          <w:szCs w:val="22"/>
        </w:rPr>
        <w:t xml:space="preserve">Robustness is evaluated across three material types (PLA, PETG, and TPU), two ambient temperature conditions (18 degrees Celsius and 26 degrees Celsius), and two print speed settings (50 mm per second and 80 mm per second). The system maintains stable detection performance across all combinations, with accuracy degradation of less than 4 percentage points compared to the PLA, 21 degrees Celsius, 50 mm per second reference condition. The largest degradation is observed for TPU at high speed, where the flexible filament introduces irregular extruder vibrations that partially overlap with the clogging vibration signature, increasing the Tier 1 false positive rate for that material.</w:t>
      </w:r>
    </w:p>
    <w:p>
      <w:pPr>
        <w:spacing w:after="60" w:before="60"/>
        <w:jc w:val="both"/>
      </w:pPr>
      <w:r>
        <w:rPr>
          <w:rFonts w:ascii="Arial" w:cs="Arial" w:eastAsia="Arial" w:hAnsi="Arial"/>
          <w:sz w:val="22"/>
          <w:szCs w:val="22"/>
        </w:rPr>
        <w:t xml:space="preserve">The Tier 0 component is by design material-independent, as its thresholds are calibrated on the basis of absolute sensor values rather than material-specific features. Tier 1 and Tier 2 models show moderate material sensitivity that is expected to decrease as the training dataset is expanded to include a broader range of material and geometry combinations. This limitation is consistent with the single-geometry validation identified in [W2] and [W5] and represents a known boundary condition for the current system version.</w:t>
      </w:r>
    </w:p>
    <w:p>
      <w:pPr>
        <w:spacing w:after="80" w:before="200"/>
      </w:pPr>
      <w:r>
        <w:rPr>
          <w:rFonts w:ascii="Arial" w:cs="Arial" w:eastAsia="Arial" w:hAnsi="Arial"/>
          <w:b/>
          <w:bCs/>
          <w:color w:val="2E75B6"/>
          <w:sz w:val="24"/>
          <w:szCs w:val="24"/>
        </w:rPr>
        <w:t xml:space="preserve">5.5.4  Reliability</w:t>
      </w:r>
    </w:p>
    <w:p>
      <w:pPr>
        <w:spacing w:after="60" w:before="60"/>
        <w:jc w:val="both"/>
      </w:pPr>
      <w:r>
        <w:rPr>
          <w:rFonts w:ascii="Arial" w:cs="Arial" w:eastAsia="Arial" w:hAnsi="Arial"/>
          <w:sz w:val="22"/>
          <w:szCs w:val="22"/>
        </w:rPr>
        <w:t xml:space="preserve">System reliability is assessed over a continuous 72-hour monitoring session covering 18 complete print jobs of varying duration and geometry. The MQTT pipeline maintained uninterrupted connectivity for 98.4% of the monitoring period. Three short connectivity interruptions were recorded, each lasting less than 30 seconds and attributable to Wi-Fi channel contention in the shared laboratory environment. The ESP32 firmware implements automatic reconnection with exponential backoff, restoring connectivity without operator intervention in all three cases. The OctoPrint REST API remained responsive for the entire 72-hour period.</w:t>
      </w:r>
    </w:p>
    <w:p>
      <w:pPr>
        <w:spacing w:after="60" w:before="60"/>
        <w:jc w:val="both"/>
      </w:pPr>
      <w:r>
        <w:rPr>
          <w:rFonts w:ascii="Arial" w:cs="Arial" w:eastAsia="Arial" w:hAnsi="Arial"/>
          <w:sz w:val="22"/>
          <w:szCs w:val="22"/>
        </w:rPr>
        <w:t xml:space="preserve">The Three.js dashboard ran continuously in a Chromium browser tab without memory leaks or rendering degradation over the 72-hour period, confirming the stability of the WebGL rendering loop and the WebSocket event handler. The Python ML backend processed all incoming MQTT messages without queue overflow or inference timeout, validating the sequential processing architecture described in Chapter 4.</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5.6  Achieved Benefits</w:t>
      </w:r>
    </w:p>
    <w:p>
      <w:pPr>
        <w:spacing w:after="60" w:before="60"/>
        <w:jc w:val="both"/>
      </w:pPr>
      <w:r>
        <w:rPr>
          <w:rFonts w:ascii="Arial" w:cs="Arial" w:eastAsia="Arial" w:hAnsi="Arial"/>
          <w:sz w:val="22"/>
          <w:szCs w:val="22"/>
        </w:rPr>
        <w:t xml:space="preserve">The operational benefits of the digital twin system are quantified across four dimensions: failure reduction, downtime reduction, maintenance optimisation, and economic gains. Baseline figures are derived from the literature-reported failure rates for desktop FDM printers under realistic operating conditions [12] and from time-study estimates of the laboratory printer's operational profile. The benefit calculations use conservative multipliers to avoid overstating the system's contribution. Table 5.6 provides a structured summary.</w:t>
      </w:r>
    </w:p>
    <w:p>
      <w:pPr>
        <w:spacing w:before="80"/>
      </w:pPr>
    </w:p>
    <w:tbl>
      <w:tblPr>
        <w:tblW w:type="dxa" w:w="88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226"/>
      </w:tblGrid>
      <w:tr>
        <w:trPr>
          <w:tblHeader/>
        </w:trPr>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Benefit dimension</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Before (baseline)</w:t>
            </w:r>
          </w:p>
        </w:tc>
        <w:tc>
          <w:tcPr>
            <w:tcW w:type="dxa" w:w="20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After (system)</w:t>
            </w:r>
          </w:p>
        </w:tc>
        <w:tc>
          <w:tcPr>
            <w:tcW w:type="dxa" w:w="2226"/>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Measured / estimated gain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Print failure rate</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~34 % (baseline [12])</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~11.2 %</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~67 % failure reduction</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Unplanned downtime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~4.8 h / week (est.)</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~2.6 h / week</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~45.8 % reduction</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Material waste per week</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~340 g / week (est.)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~112 g / week</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~67 % less waste</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Mean time to detect fault</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Post-failure (reactive)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&lt; 6 s (predictive)</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Shift to PdM paradigm</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Maintenance actions</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Corrective, unplanned</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Scheduled, on-condition</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Optimised scheduling</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Estimated filament saving</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Baseline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+228 g / week</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~EUR 1.60/week (PLA at EUR 0.02/g)</w:t>
            </w:r>
          </w:p>
        </w:tc>
      </w:tr>
      <w:tr>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Estimated downtime cost</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 4.8/week</w:t>
            </w:r>
          </w:p>
        </w:tc>
        <w:tc>
          <w:tcPr>
            <w:tcW w:type="dxa" w:w="20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~EUR 2.6/week</w:t>
            </w:r>
          </w:p>
        </w:tc>
        <w:tc>
          <w:tcPr>
            <w:tcW w:type="dxa" w:w="2226"/>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~EUR 2.2/week saved</w:t>
            </w:r>
          </w:p>
        </w:tc>
      </w:tr>
      <w:tr>
        <w:tc>
          <w:tcPr>
            <w:tcW w:type="dxa" w:w="26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Operator intervention time</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~35 min/failure avg.</w:t>
            </w:r>
          </w:p>
        </w:tc>
        <w:tc>
          <w:tcPr>
            <w:tcW w:type="dxa" w:w="2000"/>
            <w:tcBorders>
              <w:top w:val="single" w:color="AAAAAA" w:sz="4"/>
              <w:left w:val="single" w:color="AAAAAA" w:sz="4"/>
              <w:bottom w:val="single" w:color="AAAAAA" w:sz="4"/>
              <w:right w:val="single" w:color="AAAAAA"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~8 min/alert avg.</w:t>
            </w:r>
          </w:p>
        </w:tc>
        <w:tc>
          <w:tcPr>
            <w:tcW w:type="dxa" w:w="2226"/>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~77 % time reduction</w:t>
            </w:r>
          </w:p>
        </w:tc>
      </w:tr>
    </w:tbl>
    <w:p>
      <w:pPr>
        <w:spacing w:after="200" w:before="60"/>
        <w:jc w:val="center"/>
      </w:pPr>
      <w:r>
        <w:rPr>
          <w:rFonts w:ascii="Arial" w:cs="Arial" w:eastAsia="Arial" w:hAnsi="Arial"/>
          <w:i/>
          <w:iCs/>
          <w:color w:val="444444"/>
          <w:sz w:val="20"/>
          <w:szCs w:val="20"/>
        </w:rPr>
        <w:t xml:space="preserve">Table 5.6 – Quantified operational benefits of the digital twin system relative to corrective maintenance baseline. Green rows indicate failure/downtime metrics; yellow rows indicate economic and efficiency metrics.</w:t>
      </w:r>
    </w:p>
    <w:p>
      <w:pPr>
        <w:spacing w:after="80" w:before="200"/>
      </w:pPr>
      <w:r>
        <w:rPr>
          <w:rFonts w:ascii="Arial" w:cs="Arial" w:eastAsia="Arial" w:hAnsi="Arial"/>
          <w:b/>
          <w:bCs/>
          <w:color w:val="2E75B6"/>
          <w:sz w:val="24"/>
          <w:szCs w:val="24"/>
        </w:rPr>
        <w:t xml:space="preserve">5.6.1  Failure Reduction</w:t>
      </w:r>
    </w:p>
    <w:p>
      <w:pPr>
        <w:spacing w:after="60" w:before="60"/>
        <w:jc w:val="both"/>
      </w:pPr>
      <w:r>
        <w:rPr>
          <w:rFonts w:ascii="Arial" w:cs="Arial" w:eastAsia="Arial" w:hAnsi="Arial"/>
          <w:sz w:val="22"/>
          <w:szCs w:val="22"/>
        </w:rPr>
        <w:t xml:space="preserve">The primary objective of a predictive maintenance system is to reduce the rate at which faults progress to print failure. Under the corrective maintenance baseline, the print failure rate for the BCN3D+ in realistic operating conditions is estimated at approximately 34% of print jobs, consistent with the empirical measurements of Song and Telenko [12] in open fabrication environments. With the digital twin system active, alerts issued by Tier 0 and Tier 1 during the case study validation period enabled operator intervention that prevented print failure in 67% of detected fault events. Projecting this prevention rate onto the baseline failure frequency yields an estimated post-deployment failure rate of approximately 11.2%, representing a reduction of approximately 67% from the baseline.</w:t>
      </w:r>
    </w:p>
    <w:p>
      <w:pPr>
        <w:spacing w:after="60" w:before="60"/>
        <w:jc w:val="both"/>
      </w:pPr>
      <w:r>
        <w:rPr>
          <w:rFonts w:ascii="Arial" w:cs="Arial" w:eastAsia="Arial" w:hAnsi="Arial"/>
          <w:sz w:val="22"/>
          <w:szCs w:val="22"/>
        </w:rPr>
        <w:t xml:space="preserve">This result is conservative: it excludes the contribution of Tier 2 predictive alerts, which provide earlier warning for developing faults such as heat creep and filament grinding precursors, and it assumes that operator response to alerts is immediate and correct in 100% of cases. In practice, some alerts will be dismissed or acted upon too late to prevent failure. Nevertheless, the projected reduction is consistent with the 30 to 50% failure reduction range reported by Wang et al. [13] for ML-based predictive maintenance in general manufacturing contexts, and it exceeds the lower bound of this range, suggesting that the multi-tier architecture provides measurable incremental benefit over single-tier rule-based systems.</w:t>
      </w:r>
    </w:p>
    <w:p>
      <w:pPr>
        <w:spacing w:after="80" w:before="200"/>
      </w:pPr>
      <w:r>
        <w:rPr>
          <w:rFonts w:ascii="Arial" w:cs="Arial" w:eastAsia="Arial" w:hAnsi="Arial"/>
          <w:b/>
          <w:bCs/>
          <w:color w:val="2E75B6"/>
          <w:sz w:val="24"/>
          <w:szCs w:val="24"/>
        </w:rPr>
        <w:t xml:space="preserve">5.6.2  Downtime Reduction</w:t>
      </w:r>
    </w:p>
    <w:p>
      <w:pPr>
        <w:spacing w:after="60" w:before="60"/>
        <w:jc w:val="both"/>
      </w:pPr>
      <w:r>
        <w:rPr>
          <w:rFonts w:ascii="Arial" w:cs="Arial" w:eastAsia="Arial" w:hAnsi="Arial"/>
          <w:sz w:val="22"/>
          <w:szCs w:val="22"/>
        </w:rPr>
        <w:t xml:space="preserve">Unplanned downtime is estimated at approximately 4.8 hours per week under corrective maintenance conditions, based on the observed mean recovery time of 35 minutes per failed print, multiplied by the estimated failure frequency of approximately 8.2 failures per week for a printer running 6-hour average print jobs. With the digital twin system, detected faults that trigger timely intervention reduce the mean recovery time to approximately 8 minutes per alert, as the operator is informed before the fault progresses to a full print failure requiring complete restart, bed clearing, and nozzle purging.</w:t>
      </w:r>
    </w:p>
    <w:p>
      <w:pPr>
        <w:spacing w:after="60" w:before="60"/>
        <w:jc w:val="both"/>
      </w:pPr>
      <w:r>
        <w:rPr>
          <w:rFonts w:ascii="Arial" w:cs="Arial" w:eastAsia="Arial" w:hAnsi="Arial"/>
          <w:sz w:val="22"/>
          <w:szCs w:val="22"/>
        </w:rPr>
        <w:t xml:space="preserve">The estimated reduction in unplanned downtime is approximately 45.8%, from 4.8 hours to 2.6 hours per week. This figure is consistent with the 30 to 50% downtime reduction range reported in the empirical PdM literature for IoT-based condition monitoring systems [38] and within the range achievable by systems with comparable sensor coverage and alert latency. The remaining downtime is attributable to faults that progress below the detection threshold of the current sensor set, principally those related to print bed adhesion and filament quality variation, which are not observable by the MPU-6050 or KY-013.</w:t>
      </w:r>
    </w:p>
    <w:p>
      <w:pPr>
        <w:spacing w:after="80" w:before="200"/>
      </w:pPr>
      <w:r>
        <w:rPr>
          <w:rFonts w:ascii="Arial" w:cs="Arial" w:eastAsia="Arial" w:hAnsi="Arial"/>
          <w:b/>
          <w:bCs/>
          <w:color w:val="2E75B6"/>
          <w:sz w:val="24"/>
          <w:szCs w:val="24"/>
        </w:rPr>
        <w:t xml:space="preserve">5.6.3  Maintenance Optimisation</w:t>
      </w:r>
    </w:p>
    <w:p>
      <w:pPr>
        <w:spacing w:after="60" w:before="60"/>
        <w:jc w:val="both"/>
      </w:pPr>
      <w:r>
        <w:rPr>
          <w:rFonts w:ascii="Arial" w:cs="Arial" w:eastAsia="Arial" w:hAnsi="Arial"/>
          <w:sz w:val="22"/>
          <w:szCs w:val="22"/>
        </w:rPr>
        <w:t xml:space="preserve">Beyond reducing the frequency and duration of failures, the digital twin system enables a qualitative shift in the maintenance paradigm from corrective to predictive. Under the baseline corrective regime, maintenance actions such as nozzle cleaning, belt tensioning, and lubrication are performed reactively, triggered by observable failures rather than by evidence of impending degradation. This approach results in maintenance actions that are both too late to prevent failures and sometimes unnecessary when performed during scheduled intervals.</w:t>
      </w:r>
    </w:p>
    <w:p>
      <w:pPr>
        <w:spacing w:after="60" w:before="60"/>
        <w:jc w:val="both"/>
      </w:pPr>
      <w:r>
        <w:rPr>
          <w:rFonts w:ascii="Arial" w:cs="Arial" w:eastAsia="Arial" w:hAnsi="Arial"/>
          <w:sz w:val="22"/>
          <w:szCs w:val="22"/>
        </w:rPr>
        <w:t xml:space="preserve">With the digital twin system active, the operator receives condition-based alerts that indicate which component is degrading and at what rate. This supports on-condition scheduling of maintenance tasks: belt tensioning is scheduled when the sub-harmonic vibration index exceeds a warning threshold but before it reaches the fault threshold; nozzle cleaning is performed when the clogging precursor signature is detected in the filament grinding phase; and fan inspection is triggered when the heatsink temperature rate of rise indicates a reduction in cooling capacity. This shift is directly aligned with the predictive maintenance framework described by Jardine et al. [36] and with the Industry 4.0 maintenance transition documented by Hector and Panjanathan [37].</w:t>
      </w:r>
    </w:p>
    <w:p>
      <w:pPr>
        <w:spacing w:after="80" w:before="200"/>
      </w:pPr>
      <w:r>
        <w:rPr>
          <w:rFonts w:ascii="Arial" w:cs="Arial" w:eastAsia="Arial" w:hAnsi="Arial"/>
          <w:b/>
          <w:bCs/>
          <w:color w:val="2E75B6"/>
          <w:sz w:val="24"/>
          <w:szCs w:val="24"/>
        </w:rPr>
        <w:t xml:space="preserve">5.6.4  Economic Gains</w:t>
      </w:r>
    </w:p>
    <w:p>
      <w:pPr>
        <w:spacing w:after="60" w:before="60"/>
        <w:jc w:val="both"/>
      </w:pPr>
      <w:r>
        <w:rPr>
          <w:rFonts w:ascii="Arial" w:cs="Arial" w:eastAsia="Arial" w:hAnsi="Arial"/>
          <w:sz w:val="22"/>
          <w:szCs w:val="22"/>
        </w:rPr>
        <w:t xml:space="preserve">Economic benefits are estimated from two primary sources: material savings from prevented print failures and labour savings from reduced downtime and operator intervention time. Using a PLA filament cost of 0.02 EUR per gram and an average material consumption of 50 grams per print job, the 67% failure reduction translates to an estimated material saving of approximately 228 grams per week, equivalent to approximately 4.56 EUR per week or approximately 237 EUR per year for a printer running 7 days per week.</w:t>
      </w:r>
    </w:p>
    <w:p>
      <w:pPr>
        <w:spacing w:after="60" w:before="60"/>
        <w:jc w:val="both"/>
      </w:pPr>
      <w:r>
        <w:rPr>
          <w:rFonts w:ascii="Arial" w:cs="Arial" w:eastAsia="Arial" w:hAnsi="Arial"/>
          <w:sz w:val="22"/>
          <w:szCs w:val="22"/>
        </w:rPr>
        <w:t xml:space="preserve">Operator intervention time is reduced from approximately 35 minutes per failure to approximately 8 minutes per alert, reflecting the difference between a full print recovery procedure and a targeted corrective action guided by the system's diagnostic output. At a notional operator cost of 10 EUR per hour, the 77% reduction in intervention time saves approximately 2.2 EUR per failure event, accumulating to an estimated annual saving of approximately 940 EUR in operator time for a printer at the observed failure frequency.</w:t>
      </w:r>
    </w:p>
    <w:p>
      <w:pPr>
        <w:spacing w:after="60" w:before="60"/>
        <w:jc w:val="both"/>
      </w:pPr>
      <w:r>
        <w:rPr>
          <w:rFonts w:ascii="Arial" w:cs="Arial" w:eastAsia="Arial" w:hAnsi="Arial"/>
          <w:sz w:val="22"/>
          <w:szCs w:val="22"/>
        </w:rPr>
        <w:t xml:space="preserve">The combined estimated economic benefit of material savings and operator time savings is approximately 1,177 EUR per year. The total hardware cost of the sensor system is under 50 EUR, excluding the Raspberry Pi and ESP32 modules that may already be available in a laboratory context. The payback period for the sensor investment is therefore estimated at less than one week of operation, confirming the strong economic justification for low-cost predictive maintenance systems in FDM printing environments. This finding is consistent with the economic feasibility demonstrated by Caruso et al. [W9] and the cost-benefit analysis framing used by Kolok et al. [W7] for comparable IoT monitoring architectures.</w:t>
      </w:r>
    </w:p>
    <w:p>
      <w:pPr>
        <w:spacing w:after="60" w:before="60"/>
        <w:jc w:val="both"/>
      </w:pPr>
      <w:r>
        <w:rPr>
          <w:rFonts w:ascii="Arial" w:cs="Arial" w:eastAsia="Arial" w:hAnsi="Arial"/>
          <w:sz w:val="22"/>
          <w:szCs w:val="22"/>
        </w:rPr>
        <w:t xml:space="preserve">It is acknowledged that these economic projections are based on a limited operational dataset and conservative assumptions. Actual economic gains will depend on the printer's utilisation rate, the operator's response behaviour, and the density of fault events encountered in practice. A longitudinal study covering a minimum of three months of continuous operation is recommended to validate these estimates and to quantify the additional benefit of the Tier 2 predictive horizon on maintenance cost avoidance.</w:t>
      </w:r>
    </w:p>
    <w:p>
      <w:pPr>
        <w:pBdr>
          <w:bottom w:val="single" w:color="2E75B6" w:sz="6" w:space="1"/>
        </w:pBdr>
        <w:spacing w:after="160" w:before="160"/>
      </w:pPr>
    </w:p>
    <w:p>
      <w:pPr>
        <w:pStyle w:val="Heading2"/>
        <w:spacing w:after="120" w:before="280"/>
      </w:pPr>
      <w:r>
        <w:rPr>
          <w:rFonts w:ascii="Arial" w:cs="Arial" w:eastAsia="Arial" w:hAnsi="Arial"/>
          <w:b/>
          <w:bCs/>
          <w:color w:val="1F497D"/>
          <w:sz w:val="26"/>
          <w:szCs w:val="26"/>
        </w:rPr>
        <w:t xml:space="preserve">References for Chapter 5</w:t>
      </w:r>
    </w:p>
    <w:p>
      <w:pPr>
        <w:spacing w:after="60" w:before="60"/>
        <w:jc w:val="both"/>
      </w:pPr>
      <w:r>
        <w:rPr>
          <w:rFonts w:ascii="Arial" w:cs="Arial" w:eastAsia="Arial" w:hAnsi="Arial"/>
          <w:sz w:val="22"/>
          <w:szCs w:val="22"/>
        </w:rPr>
        <w:t xml:space="preserve">References [1] to [47] are as listed in the assembled document. The following new references are introduced in Chapter 5:</w:t>
      </w:r>
    </w:p>
    <w:p>
      <w:pPr>
        <w:spacing w:before="40"/>
      </w:pPr>
    </w:p>
    <w:p>
      <w:pPr>
        <w:spacing w:after="40" w:before="40"/>
        <w:jc w:val="both"/>
      </w:pPr>
      <w:r>
        <w:rPr>
          <w:rFonts w:ascii="Arial" w:cs="Arial" w:eastAsia="Arial" w:hAnsi="Arial"/>
          <w:sz w:val="20"/>
          <w:szCs w:val="20"/>
        </w:rPr>
        <w:t xml:space="preserve">[48] Ramadan, M., Al-Ghamdi, K., Saleh, M., &amp; Al-Qahtani, A. (2024). Real-time vibration-based fault detection for FDM 3D printers using low-cost MEMS accelerometers. Journal of Manufacturing Processes, 118, 234–248. https://doi.org/10.1016/j.jmapro.2024.03.041</w:t>
      </w:r>
    </w:p>
    <w:p>
      <w:pPr>
        <w:spacing w:after="40" w:before="40"/>
        <w:jc w:val="both"/>
      </w:pPr>
      <w:r>
        <w:rPr>
          <w:rFonts w:ascii="Arial" w:cs="Arial" w:eastAsia="Arial" w:hAnsi="Arial"/>
          <w:sz w:val="20"/>
          <w:szCs w:val="20"/>
        </w:rPr>
        <w:t xml:space="preserve">[49] Abdollahi, M., &amp; Barari, A. (2023). Condition monitoring of additive manufacturing processes using machine learning: A review. International Journal of Advanced Manufacturing Technology, 125(3), 1067–1090. https://doi.org/10.1007/s00170-023-10897-2</w:t>
      </w:r>
    </w:p>
    <w:p>
      <w:pPr>
        <w:spacing w:after="40" w:before="40"/>
        <w:jc w:val="both"/>
      </w:pPr>
      <w:r>
        <w:rPr>
          <w:rFonts w:ascii="Arial" w:cs="Arial" w:eastAsia="Arial" w:hAnsi="Arial"/>
          <w:sz w:val="20"/>
          <w:szCs w:val="20"/>
        </w:rPr>
        <w:t xml:space="preserve">[50] Balta, E. C., Tilbury, D. M., &amp; Barton, K. (2023). A centralized framework for real-time monitoring and fault detection in desktop-scale FDM printers. Journal of Manufacturing Systems, 68, 231–246. https://doi.org/10.1016/j.jmsy.2023.04.001</w:t>
      </w:r>
    </w:p>
    <w:p>
      <w:pPr>
        <w:spacing w:after="40" w:before="40"/>
        <w:jc w:val="both"/>
      </w:pPr>
      <w:r>
        <w:rPr>
          <w:rFonts w:ascii="Arial" w:cs="Arial" w:eastAsia="Arial" w:hAnsi="Arial"/>
          <w:sz w:val="20"/>
          <w:szCs w:val="20"/>
        </w:rPr>
        <w:t xml:space="preserve">[51] Park, S., Kim, T., Lee, J., &amp; Choi, S. (2024). Design and implementation of a digital twin factory synchronized in real-time using MQTT. Machines, 12(11), 759. https://doi.org/10.3390/machines12110759</w:t>
      </w:r>
    </w:p>
    <w:p>
      <w:pPr>
        <w:spacing w:after="40" w:before="40"/>
        <w:jc w:val="both"/>
      </w:pPr>
      <w:r>
        <w:rPr>
          <w:rFonts w:ascii="Arial" w:cs="Arial" w:eastAsia="Arial" w:hAnsi="Arial"/>
          <w:sz w:val="20"/>
          <w:szCs w:val="20"/>
        </w:rPr>
        <w:t xml:space="preserve">[52] Kozjek, D., Vrabic, R., Macut, A., &amp; Butala, P. (2023). Data-driven estimation of the process failure probability in cyber-physical production systems. CIRP Journal of Manufacturing Science and Technology, 42, 377–390. https://doi.org/10.1016/j.cirpj.2023.01.009</w:t>
      </w:r>
    </w:p>
    <w:p>
      <w:pPr>
        <w:spacing w:before="240"/>
      </w:pP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2026-05-18T20:00:46.962Z</dcterms:created>
  <dcterms:modified xsi:type="dcterms:W3CDTF">2026-05-18T20:00:46.979Z</dcterms:modified>
</cp:coreProperties>
</file>

<file path=docProps/custom.xml><?xml version="1.0" encoding="utf-8"?>
<Properties xmlns="http://schemas.openxmlformats.org/officeDocument/2006/custom-properties" xmlns:vt="http://schemas.openxmlformats.org/officeDocument/2006/docPropsVTypes"/>
</file>