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1BA57" w14:textId="5B19EF79" w:rsidR="00AC4413" w:rsidRDefault="00FB1D7C">
      <w:r>
        <w:t>Rapport v 1 - 14 Avril 2025</w:t>
      </w:r>
    </w:p>
    <w:sectPr w:rsidR="00AC4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E9"/>
    <w:rsid w:val="00865EE9"/>
    <w:rsid w:val="00AC4413"/>
    <w:rsid w:val="00FB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79A9A"/>
  <w15:chartTrackingRefBased/>
  <w15:docId w15:val="{AFAE774B-12ED-4C82-AA69-72DFFEF1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Lassoued</dc:creator>
  <cp:keywords/>
  <dc:description/>
  <cp:lastModifiedBy>Houssem Eddine Lassoued</cp:lastModifiedBy>
  <cp:revision>2</cp:revision>
  <dcterms:created xsi:type="dcterms:W3CDTF">2025-04-14T15:53:00Z</dcterms:created>
  <dcterms:modified xsi:type="dcterms:W3CDTF">2025-04-14T15:53:00Z</dcterms:modified>
</cp:coreProperties>
</file>