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Définitions des indicateurs du support</w:t>
      </w:r>
    </w:p>
    <w:p>
      <w:r>
        <w:rPr>
          <w:i/>
        </w:rPr>
        <w:t>Service IT d’Orvalis · référentiel en vigueur depuis janvier 2026</w:t>
      </w:r>
    </w:p>
    <w:p>
      <w:pPr>
        <w:pStyle w:val="Heading2"/>
      </w:pPr>
      <w:r>
        <w:rPr>
          <w:color w:val="0B1F5C"/>
        </w:rPr>
        <w:t>Volume</w:t>
      </w:r>
    </w:p>
    <w:p>
      <w:r>
        <w:t>Nombre de tickets créés sur la période (date « Créé le »), tous statuts confondus, par catégorie et par site.</w:t>
      </w:r>
    </w:p>
    <w:p>
      <w:pPr>
        <w:pStyle w:val="Heading2"/>
      </w:pPr>
      <w:r>
        <w:rPr>
          <w:color w:val="0B1F5C"/>
        </w:rPr>
        <w:t>Délai moyen de résolution</w:t>
      </w:r>
    </w:p>
    <w:p>
      <w:r>
        <w:t>Moyenne de « Résolu le − Créé le », en heures calendaires, calculée sur les seuls tickets résolus de la période.</w:t>
      </w:r>
    </w:p>
    <w:p>
      <w:pPr>
        <w:pStyle w:val="Heading2"/>
      </w:pPr>
      <w:r>
        <w:rPr>
          <w:color w:val="0B1F5C"/>
        </w:rPr>
        <w:t>Respect des SLA</w:t>
      </w:r>
    </w:p>
    <w:p>
      <w:r>
        <w:t>Part des tickets résolus dont le délai est inférieur ou égal au délai prévu pour leur priorité (P1 4 h, P2 8 h, P3 24 h, P4 72 h).</w:t>
      </w:r>
    </w:p>
    <w:p>
      <w:pPr>
        <w:pStyle w:val="Heading2"/>
      </w:pPr>
      <w:r>
        <w:rPr>
          <w:color w:val="0B1F5C"/>
        </w:rPr>
        <w:t>Résolution au premier contact</w:t>
      </w:r>
    </w:p>
    <w:p>
      <w:r>
        <w:t>Part des tickets résolus marqués « Oui » dans la colonne « Résolu au premier contact ».</w:t>
      </w:r>
    </w:p>
    <w:p>
      <w:pPr>
        <w:pStyle w:val="Heading2"/>
      </w:pPr>
      <w:r>
        <w:rPr>
          <w:color w:val="0B1F5C"/>
        </w:rPr>
        <w:t>Stock</w:t>
      </w:r>
    </w:p>
    <w:p>
      <w:r>
        <w:t>Tickets au statut « Ouvert » ou « En attente » à la fin de la période, avec leur ancienneté.</w:t>
      </w:r>
    </w:p>
    <w:p>
      <w:pPr>
        <w:pStyle w:val="Heading2"/>
      </w:pPr>
      <w:r>
        <w:rPr>
          <w:color w:val="0B1F5C"/>
        </w:rPr>
        <w:t>Règles de calcul</w:t>
      </w:r>
    </w:p>
    <w:p>
      <w:pPr>
        <w:pStyle w:val="ListBullet"/>
      </w:pPr>
      <w:r>
        <w:t>Les libellés de catégorie sont harmonisés avant calcul (casse, espaces, « &amp; » / « et »).</w:t>
      </w:r>
    </w:p>
    <w:p>
      <w:pPr>
        <w:pStyle w:val="ListBullet"/>
      </w:pPr>
      <w:r>
        <w:t>Une catégorie compte pour un ticket, même si son objet en évoque plusieurs.</w:t>
      </w:r>
    </w:p>
    <w:p>
      <w:pPr>
        <w:pStyle w:val="ListBullet"/>
      </w:pPr>
      <w:r>
        <w:t>Les pourcentages sont arrondis à une décimale, les délais à une décimale.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