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Modèle de reporting mensuel du support</w:t>
      </w:r>
    </w:p>
    <w:p>
      <w:r>
        <w:rPr>
          <w:i/>
        </w:rPr>
        <w:t>À compléter chaque mois · une page maximum</w:t>
      </w:r>
    </w:p>
    <w:p>
      <w:pPr>
        <w:pStyle w:val="Heading2"/>
      </w:pPr>
      <w:r>
        <w:rPr>
          <w:color w:val="0B1F5C"/>
        </w:rPr>
        <w:t>1. Les chiffres du mois</w:t>
      </w:r>
    </w:p>
    <w:p>
      <w:r>
        <w:t>Volume, délai moyen, respect des SLA, résolution au premier contact, stock. Pour chacun : valeur, objectif, évolution par rapport au mois précédent.</w:t>
      </w:r>
    </w:p>
    <w:p>
      <w:pPr>
        <w:pStyle w:val="Heading2"/>
      </w:pPr>
      <w:r>
        <w:rPr>
          <w:color w:val="0B1F5C"/>
        </w:rPr>
        <w:t>2. Les trois faits marquants</w:t>
      </w:r>
    </w:p>
    <w:p>
      <w:r>
        <w:t>Les trois plus forts écarts, chacun avec son chiffre et une hypothèse d’explication à vérifier.</w:t>
      </w:r>
    </w:p>
    <w:p>
      <w:pPr>
        <w:pStyle w:val="Heading2"/>
      </w:pPr>
      <w:r>
        <w:rPr>
          <w:color w:val="0B1F5C"/>
        </w:rPr>
        <w:t>3. Les actions en cours</w:t>
      </w:r>
    </w:p>
    <w:p>
      <w:r>
        <w:t>Ce qui est fait pour corriger les écarts : action, responsable, échéance.</w:t>
      </w:r>
    </w:p>
    <w:p>
      <w:pPr>
        <w:pStyle w:val="Heading2"/>
      </w:pPr>
      <w:r>
        <w:rPr>
          <w:color w:val="0B1F5C"/>
        </w:rPr>
        <w:t>4. Le point d’attention pour la direction</w:t>
      </w:r>
    </w:p>
    <w:p>
      <w:r>
        <w:t>Une phrase, sans jargon : ce que la direction doit savoir ou décider.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