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Dossier de changement CHG-1004 · Migration du serveur d’impression PRT-01</w:t>
      </w:r>
    </w:p>
    <w:p>
      <w:r>
        <w:rPr>
          <w:i/>
        </w:rPr>
        <w:t>Préparé par Malik (administration) pour le comité de changement du jeudi 15 octobre 2026</w:t>
      </w:r>
    </w:p>
    <w:p>
      <w:pPr>
        <w:pStyle w:val="Heading2"/>
      </w:pPr>
      <w:r>
        <w:rPr>
          <w:color w:val="0B1F5C"/>
        </w:rPr>
        <w:t>Description</w:t>
      </w:r>
    </w:p>
    <w:p>
      <w:r>
        <w:t>Remplacer le serveur d’impression PRT-01 (Windows Server 2016, 2017) par un nouveau serveur PRT-02 sous Windows Server 2022, et migrer les 212 files d’impression des neuf entrepôts et du siège.</w:t>
      </w:r>
    </w:p>
    <w:p>
      <w:pPr>
        <w:pStyle w:val="Heading2"/>
      </w:pPr>
      <w:r>
        <w:rPr>
          <w:color w:val="0B1F5C"/>
        </w:rPr>
        <w:t>Justification</w:t>
      </w:r>
    </w:p>
    <w:p>
      <w:pPr>
        <w:pStyle w:val="ListBullet"/>
      </w:pPr>
      <w:r>
        <w:t>Tickets « Impression » : 128 en août, 236 en septembre (+84 %), dont 118 à Lyon.</w:t>
      </w:r>
    </w:p>
    <w:p>
      <w:pPr>
        <w:pStyle w:val="ListBullet"/>
      </w:pPr>
      <w:r>
        <w:t>Mises à jour automatiques de pilotes incompatibles (incident du 3 septembre, ticket 48213 du 12 octobre).</w:t>
      </w:r>
    </w:p>
    <w:p>
      <w:pPr>
        <w:pStyle w:val="ListBullet"/>
      </w:pPr>
      <w:r>
        <w:t>Disque système de PRT-01 à 12 % d’espace libre.</w:t>
      </w:r>
    </w:p>
    <w:p>
      <w:pPr>
        <w:pStyle w:val="Heading2"/>
      </w:pPr>
      <w:r>
        <w:rPr>
          <w:color w:val="0B1F5C"/>
        </w:rPr>
        <w:t>Impacts</w:t>
      </w:r>
    </w:p>
    <w:p>
      <w:pPr>
        <w:pStyle w:val="ListBullet"/>
      </w:pPr>
      <w:r>
        <w:t>Coupure de 15 minutes par site lors de la bascule.</w:t>
      </w:r>
    </w:p>
    <w:p>
      <w:pPr>
        <w:pStyle w:val="ListBullet"/>
      </w:pPr>
      <w:r>
        <w:t>Reconfiguration automatique des postes par stratégie de groupe.</w:t>
      </w:r>
    </w:p>
    <w:p>
      <w:pPr>
        <w:pStyle w:val="ListBullet"/>
      </w:pPr>
      <w:r>
        <w:t>Imprimantes d’étiquettes à tester une par une sur chaque quai.</w:t>
      </w:r>
    </w:p>
    <w:p>
      <w:pPr>
        <w:pStyle w:val="Heading2"/>
      </w:pPr>
      <w:r>
        <w:rPr>
          <w:color w:val="0B1F5C"/>
        </w:rPr>
        <w:t>Planning proposé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Étape</w:t>
            </w:r>
          </w:p>
        </w:tc>
        <w:tc>
          <w:tcPr>
            <w:tcW w:type="dxa" w:w="4320"/>
          </w:tcPr>
          <w:p>
            <w:r>
              <w:t>Période</w:t>
            </w:r>
          </w:p>
        </w:tc>
      </w:tr>
      <w:tr>
        <w:tc>
          <w:tcPr>
            <w:tcW w:type="dxa" w:w="4320"/>
          </w:tcPr>
          <w:p>
            <w:r>
              <w:t>Inventaire des pilotes par site</w:t>
            </w:r>
          </w:p>
        </w:tc>
        <w:tc>
          <w:tcPr>
            <w:tcW w:type="dxa" w:w="4320"/>
          </w:tcPr>
          <w:p>
            <w:r>
              <w:t>Semaine 45</w:t>
            </w:r>
          </w:p>
        </w:tc>
      </w:tr>
      <w:tr>
        <w:tc>
          <w:tcPr>
            <w:tcW w:type="dxa" w:w="4320"/>
          </w:tcPr>
          <w:p>
            <w:r>
              <w:t>Installation de PRT-02</w:t>
            </w:r>
          </w:p>
        </w:tc>
        <w:tc>
          <w:tcPr>
            <w:tcW w:type="dxa" w:w="4320"/>
          </w:tcPr>
          <w:p>
            <w:r>
              <w:t>Semaines 45 – 46</w:t>
            </w:r>
          </w:p>
        </w:tc>
      </w:tr>
      <w:tr>
        <w:tc>
          <w:tcPr>
            <w:tcW w:type="dxa" w:w="4320"/>
          </w:tcPr>
          <w:p>
            <w:r>
              <w:t>Pilote à l’entrepôt de Lyon</w:t>
            </w:r>
          </w:p>
        </w:tc>
        <w:tc>
          <w:tcPr>
            <w:tcW w:type="dxa" w:w="4320"/>
          </w:tcPr>
          <w:p>
            <w:r>
              <w:t>Semaine 46</w:t>
            </w:r>
          </w:p>
        </w:tc>
      </w:tr>
      <w:tr>
        <w:tc>
          <w:tcPr>
            <w:tcW w:type="dxa" w:w="4320"/>
          </w:tcPr>
          <w:p>
            <w:r>
              <w:t>Bascule des huit autres entrepôts</w:t>
            </w:r>
          </w:p>
        </w:tc>
        <w:tc>
          <w:tcPr>
            <w:tcW w:type="dxa" w:w="4320"/>
          </w:tcPr>
          <w:p>
            <w:r>
              <w:t>Semaine 47</w:t>
            </w:r>
          </w:p>
        </w:tc>
      </w:tr>
      <w:tr>
        <w:tc>
          <w:tcPr>
            <w:tcW w:type="dxa" w:w="4320"/>
          </w:tcPr>
          <w:p>
            <w:r>
              <w:t>Arrêt de PRT-01</w:t>
            </w:r>
          </w:p>
        </w:tc>
        <w:tc>
          <w:tcPr>
            <w:tcW w:type="dxa" w:w="4320"/>
          </w:tcPr>
          <w:p>
            <w:r>
              <w:t>Fin semaine 47</w:t>
            </w:r>
          </w:p>
        </w:tc>
      </w:tr>
    </w:tbl>
    <w:p>
      <w:pPr>
        <w:pStyle w:val="Heading2"/>
      </w:pPr>
      <w:r>
        <w:rPr>
          <w:color w:val="0B1F5C"/>
        </w:rPr>
        <w:t>Plan de retour arrière</w:t>
      </w:r>
    </w:p>
    <w:p>
      <w:r>
        <w:t>PRT-01 reste allumé jusqu’à la fin de la semaine 47. En cas d’échec sur un site, la stratégie de groupe de ce site est remise sur PRT-01 (10 minutes).</w:t>
      </w:r>
    </w:p>
    <w:p>
      <w:pPr>
        <w:pStyle w:val="Heading2"/>
      </w:pPr>
      <w:r>
        <w:rPr>
          <w:color w:val="0B1F5C"/>
        </w:rPr>
        <w:t>Communication</w:t>
      </w:r>
    </w:p>
    <w:p>
      <w:r>
        <w:t>Message aux chefs d’entrepôt une semaine avant (Inès), rappel la veille de la bascule de chaque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