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новую виртуальную машину.</w:t>
      </w:r>
    </w:p>
    <w:p>
      <w:pPr>
        <w:pStyle w:val="BodyText"/>
      </w:pPr>
      <w:r>
        <w:drawing>
          <wp:inline>
            <wp:extent cx="5334000" cy="509532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9436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7956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405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7444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1708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bookmarkStart w:id="42" w:name="fig:001"/>
      <w:r>
        <w:drawing>
          <wp:inline>
            <wp:extent cx="3733800" cy="3566730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5" w:name="fig:001"/>
      <w:r>
        <w:drawing>
          <wp:inline>
            <wp:extent cx="3733800" cy="2376054"/>
            <wp:effectExtent b="0" l="0" r="0" t="0"/>
            <wp:docPr descr="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8" w:name="fig:001"/>
      <w:r>
        <w:drawing>
          <wp:inline>
            <wp:extent cx="3733800" cy="2225694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1" w:name="fig:001"/>
      <w:r>
        <w:drawing>
          <wp:inline>
            <wp:extent cx="3733800" cy="2618356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4" w:name="fig:001"/>
      <w:r>
        <w:drawing>
          <wp:inline>
            <wp:extent cx="3733800" cy="2572108"/>
            <wp:effectExtent b="0" l="0" r="0" t="0"/>
            <wp:docPr descr="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7" w:name="fig:001"/>
      <w:r>
        <w:drawing>
          <wp:inline>
            <wp:extent cx="3733800" cy="2321956"/>
            <wp:effectExtent b="0" l="0" r="0" t="0"/>
            <wp:docPr descr="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1"/>
      <w:r>
        <w:drawing>
          <wp:inline>
            <wp:extent cx="3733800" cy="1604566"/>
            <wp:effectExtent b="0" l="0" r="0" t="0"/>
            <wp:docPr descr="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01"/>
      <w:r>
        <w:drawing>
          <wp:inline>
            <wp:extent cx="3733800" cy="1570685"/>
            <wp:effectExtent b="0" l="0" r="0" t="0"/>
            <wp:docPr descr="Название рисунка" title="" id="63" name="Picture"/>
            <a:graphic>
              <a:graphicData uri="http://schemas.openxmlformats.org/drawingml/2006/picture">
                <pic:pic>
                  <pic:nvPicPr>
                    <pic:cNvPr descr="image/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Задайте конфигурацию жёсткого диска — загрузочный,VDI (BirtualBox DiskImage), динамический виртуальный диск</w:t>
      </w:r>
      <w:r>
        <w:t xml:space="preserve"> </w:t>
      </w:r>
      <w:r>
        <w:t xml:space="preserve">Выберите в VirtualBox для Вашей виртуальной машины Настройки</w:t>
      </w:r>
      <w:r>
        <w:t xml:space="preserve"> </w:t>
      </w:r>
      <w:r>
        <w:t xml:space="preserve">Носители . Добавьте новый привод оптических дисков и выберите образ</w:t>
      </w:r>
      <w:r>
        <w:t xml:space="preserve"> </w:t>
      </w:r>
      <w:r>
        <w:t xml:space="preserve">операционной системы, например для работающих в дисплейных классах /afs/dk.sci.pfu.edu.ru/common/files/iso/Rocky-номер_версии.iso</w:t>
      </w:r>
    </w:p>
    <w:p>
      <w:pPr>
        <w:pStyle w:val="BodyText"/>
      </w:pPr>
      <w:r>
        <w:t xml:space="preserve">При необходимости скорректируйте часовой пояс, раскладку клавиатуры(рекомендуется добавить русский язык, но в качестве языка по умолчанию указать английский язык; задать комбинацию клавиш для переключения между раскладками клавиатуры — например Alt + Shift ). В разделе выбора программ укажите в качестве базового окружения Server with GUI , а в качестве дополнения — Development Tools. Отключите KDUMP</w:t>
      </w:r>
    </w:p>
    <w:bookmarkEnd w:id="66"/>
    <w:bookmarkStart w:id="67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выполнив команду dmesg. Можно просто просмотреть вывод этой команды: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pStyle w:val="BodyText"/>
      </w:pP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  <w:r>
        <w:t xml:space="preserve"> </w:t>
      </w:r>
      <w:r>
        <w:t xml:space="preserve">7. Последовательность монтирования файловых систем.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по установке операционной системы на виртуальную машину, настройке минимально необходимых для дальнейшей работы сервисов.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Информация в учетной записи пользователя:</w:t>
      </w:r>
    </w:p>
    <w:p>
      <w:pPr>
        <w:pStyle w:val="Compact"/>
        <w:numPr>
          <w:ilvl w:val="1"/>
          <w:numId w:val="1002"/>
        </w:numPr>
      </w:pPr>
      <w:r>
        <w:t xml:space="preserve">Имя пользователя (username)</w:t>
      </w:r>
    </w:p>
    <w:p>
      <w:pPr>
        <w:pStyle w:val="Compact"/>
        <w:numPr>
          <w:ilvl w:val="1"/>
          <w:numId w:val="1002"/>
        </w:numPr>
      </w:pPr>
      <w:r>
        <w:t xml:space="preserve">Домашний каталог (home directory)</w:t>
      </w:r>
    </w:p>
    <w:p>
      <w:pPr>
        <w:pStyle w:val="Compact"/>
        <w:numPr>
          <w:ilvl w:val="1"/>
          <w:numId w:val="1002"/>
        </w:numPr>
      </w:pPr>
      <w:r>
        <w:t xml:space="preserve">Идентификатор пользователя (user ID)</w:t>
      </w:r>
    </w:p>
    <w:p>
      <w:pPr>
        <w:pStyle w:val="Compact"/>
        <w:numPr>
          <w:ilvl w:val="1"/>
          <w:numId w:val="1002"/>
        </w:numPr>
      </w:pPr>
      <w:r>
        <w:t xml:space="preserve">Идентификатор группы (group ID)</w:t>
      </w:r>
    </w:p>
    <w:p>
      <w:pPr>
        <w:pStyle w:val="Compact"/>
        <w:numPr>
          <w:ilvl w:val="1"/>
          <w:numId w:val="1002"/>
        </w:numPr>
      </w:pPr>
      <w:r>
        <w:t xml:space="preserve">Шелл (программа командной оболочки, shell)</w:t>
      </w:r>
    </w:p>
    <w:p>
      <w:pPr>
        <w:pStyle w:val="Compact"/>
        <w:numPr>
          <w:ilvl w:val="1"/>
          <w:numId w:val="1002"/>
        </w:numPr>
      </w:pPr>
      <w:r>
        <w:t xml:space="preserve">Права доступа (permissions) к файлам и директориям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Команды терминала:</w:t>
      </w:r>
    </w:p>
    <w:p>
      <w:pPr>
        <w:pStyle w:val="Compact"/>
        <w:numPr>
          <w:ilvl w:val="1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rPr>
          <w:rStyle w:val="VerbatimChar"/>
        </w:rPr>
        <w:t xml:space="preserve">man [команда]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перемещения по файловой системе:</w:t>
      </w:r>
      <w:r>
        <w:t xml:space="preserve"> </w:t>
      </w:r>
      <w:r>
        <w:rPr>
          <w:rStyle w:val="VerbatimChar"/>
        </w:rPr>
        <w:t xml:space="preserve">cd [путь]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cd /home/user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просмотра содержимого каталога: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для более подробного списка)</w:t>
      </w:r>
    </w:p>
    <w:p>
      <w:pPr>
        <w:pStyle w:val="Compact"/>
        <w:numPr>
          <w:ilvl w:val="1"/>
          <w:numId w:val="1003"/>
        </w:numPr>
      </w:pPr>
      <w:r>
        <w:t xml:space="preserve">Для определения объёма каталога:</w:t>
      </w:r>
      <w:r>
        <w:t xml:space="preserve"> </w:t>
      </w:r>
      <w:r>
        <w:rPr>
          <w:rStyle w:val="VerbatimChar"/>
        </w:rPr>
        <w:t xml:space="preserve">du -h [каталог]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du -h /home/user/documents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создания каталогов / файлов:</w:t>
      </w:r>
      <w:r>
        <w:t xml:space="preserve"> </w:t>
      </w:r>
      <w:r>
        <w:rPr>
          <w:rStyle w:val="VerbatimChar"/>
        </w:rPr>
        <w:t xml:space="preserve">mkdir [название]</w:t>
      </w:r>
      <w:r>
        <w:t xml:space="preserve">,</w:t>
      </w:r>
      <w:r>
        <w:t xml:space="preserve"> </w:t>
      </w:r>
      <w:r>
        <w:rPr>
          <w:rStyle w:val="VerbatimChar"/>
        </w:rPr>
        <w:t xml:space="preserve">touch [название]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mkdir new_directory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touch new_file.txt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удаления каталогов / файлов:</w:t>
      </w:r>
      <w:r>
        <w:t xml:space="preserve"> </w:t>
      </w:r>
      <w:r>
        <w:rPr>
          <w:rStyle w:val="VerbatimChar"/>
        </w:rPr>
        <w:t xml:space="preserve">rm -r [название]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rm -r old_directory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rm file.txt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задания определённых прав:</w:t>
      </w:r>
      <w:r>
        <w:t xml:space="preserve"> </w:t>
      </w:r>
      <w:r>
        <w:rPr>
          <w:rStyle w:val="VerbatimChar"/>
        </w:rPr>
        <w:t xml:space="preserve">chmod [права] [файл]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chmod 755 script.sh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Для просмотра истории команд: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Файловая система:</w:t>
      </w:r>
      <w:r>
        <w:t xml:space="preserve"> </w:t>
      </w:r>
      <w:r>
        <w:t xml:space="preserve">Файловая система - это метод организации, хранения и управления файлами и данными на устройстве хранения данных (например, жестком диске). Примеры: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FAT32 (File Allocation Table):</w:t>
      </w:r>
      <w:r>
        <w:t xml:space="preserve"> </w:t>
      </w:r>
      <w:r>
        <w:t xml:space="preserve">Простая и старая файловая система, поддерживаемая многими операционными системами.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NTFS (New Technology File System):</w:t>
      </w:r>
      <w:r>
        <w:t xml:space="preserve"> </w:t>
      </w:r>
      <w:r>
        <w:t xml:space="preserve">Разработана Microsoft, обеспечивает расширенные функции и безопасность.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EXT4 (Fourth Extended Filesystem):</w:t>
      </w:r>
      <w:r>
        <w:t xml:space="preserve"> </w:t>
      </w:r>
      <w:r>
        <w:t xml:space="preserve">Распространенная в Linux, поддерживает большие объемы данных и хранит метаданные.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Просмотр подмонтированных файловых систем:</w:t>
      </w:r>
      <w:r>
        <w:t xml:space="preserve"> </w:t>
      </w: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 </w:t>
      </w:r>
      <w:r>
        <w:t xml:space="preserve">для отображения информации о подмонтированных файловых системах.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Удаление зависшего процесса:</w:t>
      </w:r>
      <w:r>
        <w:t xml:space="preserve"> </w:t>
      </w: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с номером процесса (PID). Например,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, где PID - идентификатор процесса. Если вы не знаете PID, используйте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для просмотра активных процессов, а затем примените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Талебу тенке франк устон НКАбд-04-23</dc:creator>
  <dc:language>ru-RU</dc:language>
  <cp:keywords/>
  <dcterms:created xsi:type="dcterms:W3CDTF">2025-02-21T11:51:43Z</dcterms:created>
  <dcterms:modified xsi:type="dcterms:W3CDTF">2025-02-21T11:51:43Z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и конфигурация операционной системы на виртуальную машину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