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</w:t>
      </w:r>
    </w:p>
    <w:p>
      <w:pPr>
        <w:pStyle w:val="Subtitle"/>
      </w:pPr>
      <w:r>
        <w:t xml:space="preserve">Подготовка лабораторного стенда</w:t>
      </w:r>
    </w:p>
    <w:p>
      <w:pPr>
        <w:pStyle w:val="Author"/>
      </w:pPr>
      <w:r>
        <w:t xml:space="preserve">Талебу Тенке Франк Устон</w:t>
      </w:r>
    </w:p>
    <w:p>
      <w:pPr>
        <w:pStyle w:val="Date"/>
      </w:pPr>
      <w:r>
        <w:t xml:space="preserve">2026-03-23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09580f459569ba109c5171a72206c1f95f0029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Развёртывание лабораторного стенда на ОС Windows</w:t>
      </w:r>
    </w:p>
    <w:p>
      <w:pPr>
        <w:numPr>
          <w:ilvl w:val="0"/>
          <w:numId w:val="1001"/>
        </w:numPr>
      </w:pPr>
      <w:r>
        <w:t xml:space="preserve">Подготовлена рабочая среда на локальном компьютере под управлением Windows.</w:t>
      </w:r>
      <w:r>
        <w:br/>
      </w:r>
      <w:r>
        <w:t xml:space="preserve">Установлены и настроены VirtualBox и Vagrant. После установки система была перезагружена.</w:t>
      </w:r>
    </w:p>
    <w:p>
      <w:pPr>
        <w:numPr>
          <w:ilvl w:val="0"/>
          <w:numId w:val="1001"/>
        </w:numPr>
      </w:pPr>
      <w:r>
        <w:t xml:space="preserve">В рабочем каталоге проекта созданы необходимые файлы для автоматического развертывания — 01-user.sh, 01-hostname.sh и Vagrantfile.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238701"/>
            <wp:effectExtent b="0" l="0" r="0" t="0"/>
            <wp:docPr descr="Рис. 1: Скрипт 01-user.sh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Скрипт 01-user.sh</w:t>
      </w:r>
    </w:p>
    <w:bookmarkEnd w:id="24"/>
    <w:bookmarkStart w:id="28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844969"/>
            <wp:effectExtent b="0" l="0" r="0" t="0"/>
            <wp:docPr descr="Рис. 2: Скрипт 01-hostname.sh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Скрипт 01-hostname.sh</w:t>
      </w:r>
    </w:p>
    <w:bookmarkEnd w:id="28"/>
    <w:bookmarkStart w:id="32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4637857"/>
            <wp:effectExtent b="0" l="0" r="0" t="0"/>
            <wp:docPr descr="Рис. 3: Фрагмент Vagrantfile с описанием provision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3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Фрагмент Vagrantfile с описанием provision</w:t>
      </w:r>
    </w:p>
    <w:bookmarkEnd w:id="32"/>
    <w:p>
      <w:pPr>
        <w:numPr>
          <w:ilvl w:val="0"/>
          <w:numId w:val="1001"/>
        </w:numPr>
      </w:pPr>
      <w:r>
        <w:t xml:space="preserve">Выполнена регистрация box-файла в Vagrant с помощью команды:</w:t>
      </w:r>
    </w:p>
    <w:p>
      <w:pPr>
        <w:numPr>
          <w:ilvl w:val="0"/>
          <w:numId w:val="1000"/>
        </w:numPr>
      </w:pPr>
      <w:r>
        <w:t xml:space="preserve">vagrant box add rockylinux10 vagrant-virtualbox-rockylinux10-x86_64.box</w:t>
      </w:r>
    </w:p>
    <w:bookmarkStart w:id="36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114938"/>
            <wp:effectExtent b="0" l="0" r="0" t="0"/>
            <wp:docPr descr="Рис. 4: Добавление box-файла в Vagrant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1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Добавление box-файла в Vagrant</w:t>
      </w:r>
    </w:p>
    <w:bookmarkEnd w:id="36"/>
    <w:p>
      <w:pPr>
        <w:numPr>
          <w:ilvl w:val="0"/>
          <w:numId w:val="1001"/>
        </w:numPr>
      </w:pPr>
      <w:r>
        <w:t xml:space="preserve">Выполнен запуск виртуальной машины Server:</w:t>
      </w:r>
    </w:p>
    <w:p>
      <w:pPr>
        <w:numPr>
          <w:ilvl w:val="0"/>
          <w:numId w:val="1000"/>
        </w:numPr>
      </w:pPr>
      <w:r>
        <w:t xml:space="preserve">vagrant up server</w:t>
      </w:r>
    </w:p>
    <w:bookmarkStart w:id="40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235242"/>
            <wp:effectExtent b="0" l="0" r="0" t="0"/>
            <wp:docPr descr="Рис. 5: Запуск виртуальной машины server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5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Запуск виртуальной машины server</w:t>
      </w:r>
    </w:p>
    <w:bookmarkEnd w:id="40"/>
    <w:p>
      <w:pPr>
        <w:numPr>
          <w:ilvl w:val="0"/>
          <w:numId w:val="1001"/>
        </w:numPr>
      </w:pPr>
      <w:r>
        <w:t xml:space="preserve">После успешного запуска на экране входа в систему появились пользователи vagrant и созданный скриптом akabrikosov.</w:t>
      </w:r>
    </w:p>
    <w:bookmarkStart w:id="44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923110"/>
            <wp:effectExtent b="0" l="0" r="0" t="0"/>
            <wp:docPr descr="Рис. 6: Окно входа в систему Rocky Linux" title="" id="42" name="Picture"/>
            <a:graphic>
              <a:graphicData uri="http://schemas.openxmlformats.org/drawingml/2006/picture">
                <pic:pic>
                  <pic:nvPicPr>
                    <pic:cNvPr descr="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2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Окно входа в систему Rocky Linux</w:t>
      </w:r>
    </w:p>
    <w:bookmarkEnd w:id="44"/>
    <w:p>
      <w:pPr>
        <w:numPr>
          <w:ilvl w:val="0"/>
          <w:numId w:val="1001"/>
        </w:numPr>
      </w:pPr>
      <w:r>
        <w:t xml:space="preserve">Проверено, что при входе в систему отображается корректное имя хоста server.akabrikosov.net.</w:t>
      </w:r>
    </w:p>
    <w:bookmarkStart w:id="48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25600"/>
            <wp:effectExtent b="0" l="0" r="0" t="0"/>
            <wp:docPr descr="Рис. 7: Проверка имени хоста в терминале" title="" id="46" name="Picture"/>
            <a:graphic>
              <a:graphicData uri="http://schemas.openxmlformats.org/drawingml/2006/picture">
                <pic:pic>
                  <pic:nvPicPr>
                    <pic:cNvPr descr="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Проверка имени хоста в терминале</w:t>
      </w:r>
    </w:p>
    <w:bookmarkEnd w:id="48"/>
    <w:p>
      <w:pPr>
        <w:numPr>
          <w:ilvl w:val="0"/>
          <w:numId w:val="1001"/>
        </w:numPr>
      </w:pPr>
      <w:r>
        <w:t xml:space="preserve">Подключение к серверу через консоль выполнено командой:</w:t>
      </w:r>
    </w:p>
    <w:p>
      <w:pPr>
        <w:numPr>
          <w:ilvl w:val="0"/>
          <w:numId w:val="1000"/>
        </w:numPr>
      </w:pPr>
      <w:r>
        <w:t xml:space="preserve">vagrant ssh server</w:t>
      </w:r>
    </w:p>
    <w:p>
      <w:pPr>
        <w:numPr>
          <w:ilvl w:val="0"/>
          <w:numId w:val="1000"/>
        </w:numPr>
      </w:pPr>
      <w:r>
        <w:t xml:space="preserve">После ввода пароля осуществлён вход и произведена проверка возможности переключения на пользователя akabrikosov:</w:t>
      </w:r>
    </w:p>
    <w:p>
      <w:pPr>
        <w:numPr>
          <w:ilvl w:val="0"/>
          <w:numId w:val="1000"/>
        </w:numPr>
      </w:pPr>
      <w:r>
        <w:t xml:space="preserve">su - akabrikosov</w:t>
      </w:r>
    </w:p>
    <w:p>
      <w:pPr>
        <w:numPr>
          <w:ilvl w:val="0"/>
          <w:numId w:val="1000"/>
        </w:numPr>
      </w:pPr>
      <w:r>
        <w:t xml:space="preserve">Затем выполнен выход из системы.</w:t>
      </w:r>
    </w:p>
    <w:bookmarkStart w:id="52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220317"/>
            <wp:effectExtent b="0" l="0" r="0" t="0"/>
            <wp:docPr descr="Рис. 8: Подключение к серверу через SSH" title="" id="50" name="Picture"/>
            <a:graphic>
              <a:graphicData uri="http://schemas.openxmlformats.org/drawingml/2006/picture">
                <pic:pic>
                  <pic:nvPicPr>
                    <pic:cNvPr descr="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Подключение к серверу через SSH</w:t>
      </w:r>
    </w:p>
    <w:bookmarkEnd w:id="52"/>
    <w:bookmarkEnd w:id="53"/>
    <w:bookmarkEnd w:id="54"/>
    <w:bookmarkStart w:id="5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работы был развернут лабораторный стенд на базе Vagrant и VirtualBox в среде Windows.</w:t>
      </w:r>
      <w:r>
        <w:br/>
      </w:r>
      <w:r>
        <w:t xml:space="preserve">Созданы и протестированы сценарии автоматического развертывания виртуальной машины с использованием скриптов 01-user.sh и 01-hostname.sh.</w:t>
      </w:r>
      <w:r>
        <w:br/>
      </w:r>
      <w:r>
        <w:t xml:space="preserve">Проверена корректность работы созданного пользователя, hostname и подключения через SSH.</w:t>
      </w:r>
    </w:p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Для чего предназначен Vagrant</w:t>
      </w:r>
      <w:r>
        <w:br/>
      </w:r>
      <w:r>
        <w:t xml:space="preserve">Vagrant предназначен для автоматизации развертывания и управления виртуальными машинами.</w:t>
      </w:r>
      <w:r>
        <w:br/>
      </w:r>
      <w:r>
        <w:t xml:space="preserve">Он упрощает настройку окружений для разработки и тестирования, обеспечивая единообразие конфигураций.</w:t>
      </w:r>
    </w:p>
    <w:p>
      <w:pPr>
        <w:numPr>
          <w:ilvl w:val="0"/>
          <w:numId w:val="1002"/>
        </w:numPr>
      </w:pPr>
      <w:r>
        <w:t xml:space="preserve">Что такое box-файл? В чём назначение Vagrantfile</w:t>
      </w:r>
      <w:r>
        <w:br/>
      </w:r>
      <w:r>
        <w:t xml:space="preserve">Box-файл — это шаблон готовой виртуальной машины, содержащий операционную систему и базовые настройки.</w:t>
      </w:r>
      <w:r>
        <w:br/>
      </w:r>
      <w:r>
        <w:t xml:space="preserve">Vagrantfile — это конфигурационный файл, описывающий параметры виртуальных машин: используемый box, настройки сети, ресурсы, а также сценарии инициализации (provision).</w:t>
      </w:r>
    </w:p>
    <w:p>
      <w:pPr>
        <w:numPr>
          <w:ilvl w:val="0"/>
          <w:numId w:val="1002"/>
        </w:numPr>
      </w:pPr>
      <w:r>
        <w:t xml:space="preserve">Приведите описание и примеры вызова основных команд Vagrant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init</w:t>
      </w:r>
      <w:r>
        <w:t xml:space="preserve"> </w:t>
      </w:r>
      <w:r>
        <w:t xml:space="preserve">— создаёт новый Vagrantfile в текущем каталоге.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box add &lt;имя&gt; &lt;путь к box&gt;</w:t>
      </w:r>
      <w:r>
        <w:t xml:space="preserve"> </w:t>
      </w:r>
      <w:r>
        <w:t xml:space="preserve">— добавляет образ виртуальной машины в локальное хранилище.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up</w:t>
      </w:r>
      <w:r>
        <w:t xml:space="preserve"> </w:t>
      </w:r>
      <w:r>
        <w:t xml:space="preserve">— запускает и создаёт виртуальную машину.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ssh</w:t>
      </w:r>
      <w:r>
        <w:t xml:space="preserve"> </w:t>
      </w:r>
      <w:r>
        <w:t xml:space="preserve">— подключается к запущенной машине по SSH.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halt</w:t>
      </w:r>
      <w:r>
        <w:t xml:space="preserve"> </w:t>
      </w:r>
      <w:r>
        <w:t xml:space="preserve">— корректно останавливает виртуальную машину.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destroy</w:t>
      </w:r>
      <w:r>
        <w:t xml:space="preserve"> </w:t>
      </w:r>
      <w:r>
        <w:t xml:space="preserve">— полностью удаляет виртуальную машину.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status</w:t>
      </w:r>
      <w:r>
        <w:t xml:space="preserve"> </w:t>
      </w:r>
      <w:r>
        <w:t xml:space="preserve">— показывает текущее состояние всех машин проекта.</w:t>
      </w:r>
    </w:p>
    <w:p>
      <w:pPr>
        <w:numPr>
          <w:ilvl w:val="0"/>
          <w:numId w:val="1002"/>
        </w:numPr>
      </w:pPr>
      <w:r>
        <w:t xml:space="preserve">Дайте построчные пояснения содержания файлов vagrant-rocky.pkr.hcl, ks.cfg, Vagrantfile, Makefile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vagrant-rocky.pkr.hcl</w:t>
      </w:r>
      <w:r>
        <w:t xml:space="preserve"> </w:t>
      </w:r>
      <w:r>
        <w:t xml:space="preserve">— конфигурация для утилиты Packer, определяющая процесс сборки box-файла (указывается источник ISO, параметры установки и скрипты автоматизации).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ks.cfg</w:t>
      </w:r>
      <w:r>
        <w:t xml:space="preserve"> </w:t>
      </w:r>
      <w:r>
        <w:t xml:space="preserve">— файл автоматической установки системы (kickstart), в котором задаются параметры установки ОС: язык, разделы диска, учетные данные, пакеты.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Vagrantfile</w:t>
      </w:r>
      <w:r>
        <w:t xml:space="preserve"> </w:t>
      </w:r>
      <w:r>
        <w:t xml:space="preserve">— основной сценарий Vagrant, описывающий создание виртуальных машин (server, client), их параметры сети, провижнинг и запуск вспомогательных скриптов.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Makefile</w:t>
      </w:r>
      <w:r>
        <w:t xml:space="preserve"> </w:t>
      </w:r>
      <w:r>
        <w:t xml:space="preserve">— содержит набор команд для автоматизации часто выполняемых действий, таких как сборка, запуск или уничтожение виртуальных машин.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Талебу Тенке Франк Устон</dc:creator>
  <dc:language>ru-RU</dc:language>
  <cp:keywords/>
  <dcterms:created xsi:type="dcterms:W3CDTF">2026-03-23T01:20:34Z</dcterms:created>
  <dcterms:modified xsi:type="dcterms:W3CDTF">2026-03-23T01:20:34Z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ate">
    <vt:lpwstr>2026-03-23</vt:lpwstr>
  </property>
  <property fmtid="{D5CDD505-2E9C-101B-9397-08002B2CF9AE}" pid="21" name="documentclass">
    <vt:lpwstr>scrreprt</vt:lpwstr>
  </property>
  <property fmtid="{D5CDD505-2E9C-101B-9397-08002B2CF9AE}" pid="22" name="email">
    <vt:lpwstr>1032224534@pfur.ru</vt:lpwstr>
  </property>
  <property fmtid="{D5CDD505-2E9C-101B-9397-08002B2CF9AE}" pid="23" name="eqLabels">
    <vt:lpwstr>arabic</vt:lpwstr>
  </property>
  <property fmtid="{D5CDD505-2E9C-101B-9397-08002B2CF9AE}" pid="24" name="eqnBlockInlineMath">
    <vt:lpwstr>False</vt:lpwstr>
  </property>
  <property fmtid="{D5CDD505-2E9C-101B-9397-08002B2CF9AE}" pid="25" name="eqnBlockTemplate">
    <vt:lpwstr>ti</vt:lpwstr>
  </property>
  <property fmtid="{D5CDD505-2E9C-101B-9397-08002B2CF9AE}" pid="26" name="eqnDisplayTemplate">
    <vt:lpwstr>e</vt:lpwstr>
  </property>
  <property fmtid="{D5CDD505-2E9C-101B-9397-08002B2CF9AE}" pid="27" name="eqnIndexTemplate">
    <vt:lpwstr>(i)</vt:lpwstr>
  </property>
  <property fmtid="{D5CDD505-2E9C-101B-9397-08002B2CF9AE}" pid="28" name="eqnInlineTableTemplate">
    <vt:lpwstr>e</vt:lpwstr>
  </property>
  <property fmtid="{D5CDD505-2E9C-101B-9397-08002B2CF9AE}" pid="29" name="eqnInlineTemplate">
    <vt:lpwstr>eequationNumberTeX{i}</vt:lpwstr>
  </property>
  <property fmtid="{D5CDD505-2E9C-101B-9397-08002B2CF9AE}" pid="30" name="eqnPrefix">
    <vt:lpwstr/>
  </property>
  <property fmtid="{D5CDD505-2E9C-101B-9397-08002B2CF9AE}" pid="31" name="eqnPrefixTemplate">
    <vt:lpwstr>p i</vt:lpwstr>
  </property>
  <property fmtid="{D5CDD505-2E9C-101B-9397-08002B2CF9AE}" pid="32" name="equationNumberTeX">
    <vt:lpwstr>\qquad</vt:lpwstr>
  </property>
  <property fmtid="{D5CDD505-2E9C-101B-9397-08002B2CF9AE}" pid="33" name="figLabels">
    <vt:lpwstr>arabic</vt:lpwstr>
  </property>
  <property fmtid="{D5CDD505-2E9C-101B-9397-08002B2CF9AE}" pid="34" name="figPrefix">
    <vt:lpwstr/>
  </property>
  <property fmtid="{D5CDD505-2E9C-101B-9397-08002B2CF9AE}" pid="35" name="figPrefixTemplate">
    <vt:lpwstr>p i</vt:lpwstr>
  </property>
  <property fmtid="{D5CDD505-2E9C-101B-9397-08002B2CF9AE}" pid="36" name="figureTemplate">
    <vt:lpwstr>figureTitle ititleDelim t</vt:lpwstr>
  </property>
  <property fmtid="{D5CDD505-2E9C-101B-9397-08002B2CF9AE}" pid="37" name="figureTitle">
    <vt:lpwstr>Рис.</vt:lpwstr>
  </property>
  <property fmtid="{D5CDD505-2E9C-101B-9397-08002B2CF9AE}" pid="38" name="fontsize">
    <vt:lpwstr>12pt</vt:lpwstr>
  </property>
  <property fmtid="{D5CDD505-2E9C-101B-9397-08002B2CF9AE}" pid="39" name="header-includes">
    <vt:lpwstr/>
  </property>
  <property fmtid="{D5CDD505-2E9C-101B-9397-08002B2CF9AE}" pid="40" name="indent">
    <vt:lpwstr>True</vt:lpwstr>
  </property>
  <property fmtid="{D5CDD505-2E9C-101B-9397-08002B2CF9AE}" pid="41" name="institute">
    <vt:lpwstr>Российский университет дружбы народов</vt:lpwstr>
  </property>
  <property fmtid="{D5CDD505-2E9C-101B-9397-08002B2CF9AE}" pid="42" name="lastDelim">
    <vt:lpwstr>, </vt:lpwstr>
  </property>
  <property fmtid="{D5CDD505-2E9C-101B-9397-08002B2CF9AE}" pid="43" name="linestretch">
    <vt:lpwstr>1.5</vt:lpwstr>
  </property>
  <property fmtid="{D5CDD505-2E9C-101B-9397-08002B2CF9AE}" pid="44" name="linkReferences">
    <vt:lpwstr>False</vt:lpwstr>
  </property>
  <property fmtid="{D5CDD505-2E9C-101B-9397-08002B2CF9AE}" pid="45" name="listItemTitleDelim">
    <vt:lpwstr>.</vt:lpwstr>
  </property>
  <property fmtid="{D5CDD505-2E9C-101B-9397-08002B2CF9AE}" pid="46" name="listingTemplate">
    <vt:lpwstr>listingTitle ititleDelim t</vt:lpwstr>
  </property>
  <property fmtid="{D5CDD505-2E9C-101B-9397-08002B2CF9AE}" pid="47" name="listingTitle">
    <vt:lpwstr>Листинг</vt:lpwstr>
  </property>
  <property fmtid="{D5CDD505-2E9C-101B-9397-08002B2CF9AE}" pid="48" name="listings">
    <vt:lpwstr>False</vt:lpwstr>
  </property>
  <property fmtid="{D5CDD505-2E9C-101B-9397-08002B2CF9AE}" pid="49" name="lof">
    <vt:lpwstr>True</vt:lpwstr>
  </property>
  <property fmtid="{D5CDD505-2E9C-101B-9397-08002B2CF9AE}" pid="50" name="lofItemTemplate">
    <vt:lpwstr>lofItemTitleilistItemTitleDelimt </vt:lpwstr>
  </property>
  <property fmtid="{D5CDD505-2E9C-101B-9397-08002B2CF9AE}" pid="51" name="lofItemTitle">
    <vt:lpwstr/>
  </property>
  <property fmtid="{D5CDD505-2E9C-101B-9397-08002B2CF9AE}" pid="52" name="lofTitle">
    <vt:lpwstr>Список иллюстраций</vt:lpwstr>
  </property>
  <property fmtid="{D5CDD505-2E9C-101B-9397-08002B2CF9AE}" pid="53" name="lolItemTemplate">
    <vt:lpwstr>lolItemTitleilistItemTitleDelimt </vt:lpwstr>
  </property>
  <property fmtid="{D5CDD505-2E9C-101B-9397-08002B2CF9AE}" pid="54" name="lolItemTitle">
    <vt:lpwstr/>
  </property>
  <property fmtid="{D5CDD505-2E9C-101B-9397-08002B2CF9AE}" pid="55" name="lolTitle">
    <vt:lpwstr>Листинги</vt:lpwstr>
  </property>
  <property fmtid="{D5CDD505-2E9C-101B-9397-08002B2CF9AE}" pid="56" name="lot">
    <vt:lpwstr>True</vt:lpwstr>
  </property>
  <property fmtid="{D5CDD505-2E9C-101B-9397-08002B2CF9AE}" pid="57" name="lotItemTemplate">
    <vt:lpwstr>lotItemTitleilistItemTitleDelimt </vt:lpwstr>
  </property>
  <property fmtid="{D5CDD505-2E9C-101B-9397-08002B2CF9AE}" pid="58" name="lotItemTitle">
    <vt:lpwstr/>
  </property>
  <property fmtid="{D5CDD505-2E9C-101B-9397-08002B2CF9AE}" pid="59" name="lotTitle">
    <vt:lpwstr>Список таблиц</vt:lpwstr>
  </property>
  <property fmtid="{D5CDD505-2E9C-101B-9397-08002B2CF9AE}" pid="60" name="lstLabels">
    <vt:lpwstr>arabic</vt:lpwstr>
  </property>
  <property fmtid="{D5CDD505-2E9C-101B-9397-08002B2CF9AE}" pid="61" name="lstPrefix">
    <vt:lpwstr/>
  </property>
  <property fmtid="{D5CDD505-2E9C-101B-9397-08002B2CF9AE}" pid="62" name="lstPrefixTemplate">
    <vt:lpwstr>p i</vt:lpwstr>
  </property>
  <property fmtid="{D5CDD505-2E9C-101B-9397-08002B2CF9AE}" pid="63" name="mainfont">
    <vt:lpwstr>IBM Plex Serif</vt:lpwstr>
  </property>
  <property fmtid="{D5CDD505-2E9C-101B-9397-08002B2CF9AE}" pid="64" name="mainfontoptions">
    <vt:lpwstr>Ligatures=Common,Ligatures=TeX,Scale=0.94</vt:lpwstr>
  </property>
  <property fmtid="{D5CDD505-2E9C-101B-9397-08002B2CF9AE}" pid="65" name="mathfont">
    <vt:lpwstr>STIX Two Math</vt:lpwstr>
  </property>
  <property fmtid="{D5CDD505-2E9C-101B-9397-08002B2CF9AE}" pid="66" name="monofont">
    <vt:lpwstr>IBM Plex Mono</vt:lpwstr>
  </property>
  <property fmtid="{D5CDD505-2E9C-101B-9397-08002B2CF9AE}" pid="67" name="monofontoptions">
    <vt:lpwstr>Scale=MatchLowercase,Scale=0.94,FakeStretch=0.9</vt:lpwstr>
  </property>
  <property fmtid="{D5CDD505-2E9C-101B-9397-08002B2CF9AE}" pid="68" name="nameInLink">
    <vt:lpwstr>False</vt:lpwstr>
  </property>
  <property fmtid="{D5CDD505-2E9C-101B-9397-08002B2CF9AE}" pid="69" name="numberSections">
    <vt:lpwstr>False</vt:lpwstr>
  </property>
  <property fmtid="{D5CDD505-2E9C-101B-9397-08002B2CF9AE}" pid="70" name="pairDelim">
    <vt:lpwstr>, </vt:lpwstr>
  </property>
  <property fmtid="{D5CDD505-2E9C-101B-9397-08002B2CF9AE}" pid="71" name="papersize">
    <vt:lpwstr>a4</vt:lpwstr>
  </property>
  <property fmtid="{D5CDD505-2E9C-101B-9397-08002B2CF9AE}" pid="72" name="polyglossia-lang">
    <vt:lpwstr/>
  </property>
  <property fmtid="{D5CDD505-2E9C-101B-9397-08002B2CF9AE}" pid="73" name="polyglossia-otherlangs">
    <vt:lpwstr/>
  </property>
  <property fmtid="{D5CDD505-2E9C-101B-9397-08002B2CF9AE}" pid="74" name="rangeDelim">
    <vt:lpwstr>-</vt:lpwstr>
  </property>
  <property fmtid="{D5CDD505-2E9C-101B-9397-08002B2CF9AE}" pid="75" name="refDelim">
    <vt:lpwstr>, </vt:lpwstr>
  </property>
  <property fmtid="{D5CDD505-2E9C-101B-9397-08002B2CF9AE}" pid="76" name="refIndexTemplate">
    <vt:lpwstr>isuf</vt:lpwstr>
  </property>
  <property fmtid="{D5CDD505-2E9C-101B-9397-08002B2CF9AE}" pid="77" name="romanfont">
    <vt:lpwstr>IBM Plex Serif</vt:lpwstr>
  </property>
  <property fmtid="{D5CDD505-2E9C-101B-9397-08002B2CF9AE}" pid="78" name="romanfontoptions">
    <vt:lpwstr>Ligatures=Common,Ligatures=TeX,Scale=0.94</vt:lpwstr>
  </property>
  <property fmtid="{D5CDD505-2E9C-101B-9397-08002B2CF9AE}" pid="79" name="sansfont">
    <vt:lpwstr>IBM Plex Sans</vt:lpwstr>
  </property>
  <property fmtid="{D5CDD505-2E9C-101B-9397-08002B2CF9AE}" pid="80" name="sansfontoptions">
    <vt:lpwstr>Ligatures=Common,Ligatures=TeX,Scale=MatchLowercase,Scale=0.94</vt:lpwstr>
  </property>
  <property fmtid="{D5CDD505-2E9C-101B-9397-08002B2CF9AE}" pid="81" name="secHeaderDelim">
    <vt:lpwstr> </vt:lpwstr>
  </property>
  <property fmtid="{D5CDD505-2E9C-101B-9397-08002B2CF9AE}" pid="82" name="secHeaderTemplate">
    <vt:lpwstr>isecHeaderDelim[n]t</vt:lpwstr>
  </property>
  <property fmtid="{D5CDD505-2E9C-101B-9397-08002B2CF9AE}" pid="83" name="secLabels">
    <vt:lpwstr>arabic</vt:lpwstr>
  </property>
  <property fmtid="{D5CDD505-2E9C-101B-9397-08002B2CF9AE}" pid="84" name="secPrefix">
    <vt:lpwstr/>
  </property>
  <property fmtid="{D5CDD505-2E9C-101B-9397-08002B2CF9AE}" pid="85" name="secPrefixTemplate">
    <vt:lpwstr>p i</vt:lpwstr>
  </property>
  <property fmtid="{D5CDD505-2E9C-101B-9397-08002B2CF9AE}" pid="86" name="sectionsDepth">
    <vt:lpwstr>0</vt:lpwstr>
  </property>
  <property fmtid="{D5CDD505-2E9C-101B-9397-08002B2CF9AE}" pid="87" name="subfigGrid">
    <vt:lpwstr>False</vt:lpwstr>
  </property>
  <property fmtid="{D5CDD505-2E9C-101B-9397-08002B2CF9AE}" pid="88" name="subfigLabels">
    <vt:lpwstr>alpha a</vt:lpwstr>
  </property>
  <property fmtid="{D5CDD505-2E9C-101B-9397-08002B2CF9AE}" pid="89" name="subfigureChildTemplate">
    <vt:lpwstr>i</vt:lpwstr>
  </property>
  <property fmtid="{D5CDD505-2E9C-101B-9397-08002B2CF9AE}" pid="90" name="subfigureRefIndexTemplate">
    <vt:lpwstr>isuf (s)</vt:lpwstr>
  </property>
  <property fmtid="{D5CDD505-2E9C-101B-9397-08002B2CF9AE}" pid="91" name="subfigureTemplate">
    <vt:lpwstr>figureTitle ititleDelim t. ccs</vt:lpwstr>
  </property>
  <property fmtid="{D5CDD505-2E9C-101B-9397-08002B2CF9AE}" pid="92" name="subtitle">
    <vt:lpwstr>Подготовка лабораторного стенда</vt:lpwstr>
  </property>
  <property fmtid="{D5CDD505-2E9C-101B-9397-08002B2CF9AE}" pid="93" name="tableEqns">
    <vt:lpwstr>False</vt:lpwstr>
  </property>
  <property fmtid="{D5CDD505-2E9C-101B-9397-08002B2CF9AE}" pid="94" name="tableTemplate">
    <vt:lpwstr>tableTitle ititleDelim t</vt:lpwstr>
  </property>
  <property fmtid="{D5CDD505-2E9C-101B-9397-08002B2CF9AE}" pid="95" name="tableTitle">
    <vt:lpwstr>Таблица</vt:lpwstr>
  </property>
  <property fmtid="{D5CDD505-2E9C-101B-9397-08002B2CF9AE}" pid="96" name="tblLabels">
    <vt:lpwstr>arabic</vt:lpwstr>
  </property>
  <property fmtid="{D5CDD505-2E9C-101B-9397-08002B2CF9AE}" pid="97" name="tblPrefix">
    <vt:lpwstr/>
  </property>
  <property fmtid="{D5CDD505-2E9C-101B-9397-08002B2CF9AE}" pid="98" name="tblPrefixTemplate">
    <vt:lpwstr>p i</vt:lpwstr>
  </property>
  <property fmtid="{D5CDD505-2E9C-101B-9397-08002B2CF9AE}" pid="99" name="titleDelim">
    <vt:lpwstr>:</vt:lpwstr>
  </property>
  <property fmtid="{D5CDD505-2E9C-101B-9397-08002B2CF9AE}" pid="100" name="toc">
    <vt:lpwstr>True</vt:lpwstr>
  </property>
  <property fmtid="{D5CDD505-2E9C-101B-9397-08002B2CF9AE}" pid="101" name="toc-depth">
    <vt:lpwstr>2</vt:lpwstr>
  </property>
  <property fmtid="{D5CDD505-2E9C-101B-9397-08002B2CF9AE}" pid="102" name="toc-title">
    <vt:lpwstr>Содержание</vt:lpwstr>
  </property>
</Properties>
</file>