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90.png" ContentType="image/png"/>
  <Override PartName="/word/media/rId95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№2 — Настройка и анализ работы DNS-сервера</w:t>
      </w:r>
    </w:p>
    <w:p>
      <w:pPr>
        <w:pStyle w:val="Author"/>
      </w:pPr>
      <w:r>
        <w:t xml:space="preserve">Талебу Тенке Франк Устон</w:t>
      </w:r>
    </w:p>
    <w:bookmarkStart w:id="21" w:name="цели-e-задачи-работы"/>
    <w:p>
      <w:pPr>
        <w:pStyle w:val="Heading1"/>
      </w:pPr>
      <w:r>
        <w:t xml:space="preserve">Цели e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установки и конфигурирования DNS-сервера</w:t>
      </w:r>
      <w:r>
        <w:br/>
      </w:r>
      <w:r>
        <w:t xml:space="preserve">и закрепить понимание принципов работы системы доменных имён.</w:t>
      </w:r>
    </w:p>
    <w:bookmarkEnd w:id="20"/>
    <w:bookmarkEnd w:id="21"/>
    <w:bookmarkStart w:id="47" w:name="установка-e-настройка-dns-сервера"/>
    <w:p>
      <w:pPr>
        <w:pStyle w:val="Heading1"/>
      </w:pPr>
      <w:r>
        <w:t xml:space="preserve">Установка e настройка DNS-сервера</w:t>
      </w:r>
    </w:p>
    <w:bookmarkStart w:id="26" w:name="установка-пакетов-и-проверка-работы-dns"/>
    <w:p>
      <w:pPr>
        <w:pStyle w:val="Heading2"/>
      </w:pPr>
      <w:r>
        <w:t xml:space="preserve">Установка пакетов и проверка работы DNS</w:t>
      </w:r>
    </w:p>
    <w:bookmarkStart w:id="25" w:name="fig:001"/>
    <w:p>
      <w:pPr>
        <w:pStyle w:val="CaptionedFigure"/>
      </w:pPr>
      <w:r>
        <w:drawing>
          <wp:inline>
            <wp:extent cx="4267200" cy="2711584"/>
            <wp:effectExtent b="0" l="0" r="0" t="0"/>
            <wp:docPr descr="Результат выполнения команды dig www.yandex.ru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команды dig www.yandex.ru</w:t>
      </w:r>
    </w:p>
    <w:bookmarkEnd w:id="25"/>
    <w:bookmarkEnd w:id="26"/>
    <w:bookmarkStart w:id="31" w:name="анализ-конфигурационных-файлов-dns"/>
    <w:p>
      <w:pPr>
        <w:pStyle w:val="Heading2"/>
      </w:pPr>
      <w:r>
        <w:t xml:space="preserve">Анализ конфигурационных файлов DNS</w:t>
      </w:r>
    </w:p>
    <w:bookmarkStart w:id="30" w:name="fig:002"/>
    <w:p>
      <w:pPr>
        <w:pStyle w:val="CaptionedFigure"/>
      </w:pPr>
      <w:r>
        <w:drawing>
          <wp:inline>
            <wp:extent cx="4267200" cy="3666631"/>
            <wp:effectExtent b="0" l="0" r="0" t="0"/>
            <wp:docPr descr="Просмотр содержимого файлов resolv.conf и named.conf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6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файлов resolv.conf и named.conf</w:t>
      </w:r>
    </w:p>
    <w:bookmarkEnd w:id="30"/>
    <w:bookmarkEnd w:id="31"/>
    <w:bookmarkStart w:id="36" w:name="анализ-конфигурационных-файлов-dns-1"/>
    <w:p>
      <w:pPr>
        <w:pStyle w:val="Heading2"/>
      </w:pPr>
      <w:r>
        <w:t xml:space="preserve">Анализ конфигурационных файлов DNS</w:t>
      </w:r>
    </w:p>
    <w:bookmarkStart w:id="35" w:name="fig:003"/>
    <w:p>
      <w:pPr>
        <w:pStyle w:val="CaptionedFigure"/>
      </w:pPr>
      <w:r>
        <w:drawing>
          <wp:inline>
            <wp:extent cx="4267200" cy="3010601"/>
            <wp:effectExtent b="0" l="0" r="0" t="0"/>
            <wp:docPr descr="Содержимое файла named.ca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named.ca</w:t>
      </w:r>
    </w:p>
    <w:bookmarkEnd w:id="35"/>
    <w:bookmarkEnd w:id="36"/>
    <w:bookmarkStart w:id="41" w:name="анализ-конфигурационных-файлов-dns-2"/>
    <w:p>
      <w:pPr>
        <w:pStyle w:val="Heading2"/>
      </w:pPr>
      <w:r>
        <w:t xml:space="preserve">Анализ конфигурационных файлов DNS</w:t>
      </w:r>
    </w:p>
    <w:bookmarkStart w:id="40" w:name="fig:004"/>
    <w:p>
      <w:pPr>
        <w:pStyle w:val="CaptionedFigure"/>
      </w:pPr>
      <w:r>
        <w:drawing>
          <wp:inline>
            <wp:extent cx="4267200" cy="3010601"/>
            <wp:effectExtent b="0" l="0" r="0" t="0"/>
            <wp:docPr descr="Содержимое файлов named.localhost и named.loopback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0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файлов named.localhost и named.loopback</w:t>
      </w:r>
    </w:p>
    <w:bookmarkEnd w:id="40"/>
    <w:bookmarkEnd w:id="41"/>
    <w:bookmarkStart w:id="46" w:name="проверка-работы-dns-через-localhost"/>
    <w:p>
      <w:pPr>
        <w:pStyle w:val="Heading2"/>
      </w:pPr>
      <w:r>
        <w:t xml:space="preserve">Проверка работы DNS через localhost</w:t>
      </w:r>
    </w:p>
    <w:bookmarkStart w:id="45" w:name="fig:005"/>
    <w:p>
      <w:pPr>
        <w:pStyle w:val="CaptionedFigure"/>
      </w:pPr>
      <w:r>
        <w:drawing>
          <wp:inline>
            <wp:extent cx="4267200" cy="2231518"/>
            <wp:effectExtent b="0" l="0" r="0" t="0"/>
            <wp:docPr descr="Запрос к DNS через localhost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Запрос к DNS через localhost</w:t>
      </w:r>
    </w:p>
    <w:bookmarkEnd w:id="45"/>
    <w:bookmarkEnd w:id="46"/>
    <w:bookmarkEnd w:id="47"/>
    <w:bookmarkStart w:id="73" w:name="конфигурирование-первичного-dns-сервера"/>
    <w:p>
      <w:pPr>
        <w:pStyle w:val="Heading1"/>
      </w:pPr>
      <w:r>
        <w:t xml:space="preserve">Конфигурирование первичного DNS-сервера</w:t>
      </w:r>
    </w:p>
    <w:bookmarkStart w:id="52" w:name="X5d8492ad0f0b4c56b2f4328c523880e07e56bd4"/>
    <w:p>
      <w:pPr>
        <w:pStyle w:val="Heading2"/>
      </w:pPr>
      <w:r>
        <w:t xml:space="preserve">Добавление файла зоны и настройка конфигурации</w:t>
      </w:r>
    </w:p>
    <w:bookmarkStart w:id="51" w:name="fig:009"/>
    <w:p>
      <w:pPr>
        <w:pStyle w:val="CaptionedFigure"/>
      </w:pPr>
      <w:r>
        <w:drawing>
          <wp:inline>
            <wp:extent cx="4267200" cy="654510"/>
            <wp:effectExtent b="0" l="0" r="0" t="0"/>
            <wp:docPr descr="Добавление файла описания зоны в named.conf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5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файла описания зоны в named.conf</w:t>
      </w:r>
    </w:p>
    <w:bookmarkEnd w:id="51"/>
    <w:bookmarkEnd w:id="52"/>
    <w:bookmarkStart w:id="57" w:name="создание-прямой-и-обратной-зон"/>
    <w:p>
      <w:pPr>
        <w:pStyle w:val="Heading2"/>
      </w:pPr>
      <w:r>
        <w:t xml:space="preserve">Создание прямой и обратной зон</w:t>
      </w:r>
    </w:p>
    <w:bookmarkStart w:id="56" w:name="fig:010"/>
    <w:p>
      <w:pPr>
        <w:pStyle w:val="CaptionedFigure"/>
      </w:pPr>
      <w:r>
        <w:drawing>
          <wp:inline>
            <wp:extent cx="4267200" cy="2477113"/>
            <wp:effectExtent b="0" l="0" r="0" t="0"/>
            <wp:docPr descr="Описание прямой и обратной зон в файле akabrikosov.net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77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Описание прямой и обратной зон в файле akabrikosov.net</w:t>
      </w:r>
    </w:p>
    <w:bookmarkEnd w:id="56"/>
    <w:bookmarkEnd w:id="57"/>
    <w:bookmarkStart w:id="62" w:name="создание-файла-прямой-зоны"/>
    <w:p>
      <w:pPr>
        <w:pStyle w:val="Heading2"/>
      </w:pPr>
      <w:r>
        <w:t xml:space="preserve">Создание файла прямой зоны</w:t>
      </w:r>
    </w:p>
    <w:bookmarkStart w:id="61" w:name="fig:011"/>
    <w:p>
      <w:pPr>
        <w:pStyle w:val="CaptionedFigure"/>
      </w:pPr>
      <w:r>
        <w:drawing>
          <wp:inline>
            <wp:extent cx="4267200" cy="2462719"/>
            <wp:effectExtent b="0" l="0" r="0" t="0"/>
            <wp:docPr descr="Файл прямой зоны akabrikosov.net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2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прямой зоны akabrikosov.net</w:t>
      </w:r>
    </w:p>
    <w:bookmarkEnd w:id="61"/>
    <w:bookmarkEnd w:id="62"/>
    <w:bookmarkStart w:id="67" w:name="создание-файла-обратной-зоны"/>
    <w:p>
      <w:pPr>
        <w:pStyle w:val="Heading2"/>
      </w:pPr>
      <w:r>
        <w:t xml:space="preserve">Создание файла обратной зоны</w:t>
      </w:r>
    </w:p>
    <w:bookmarkStart w:id="66" w:name="fig:012"/>
    <w:p>
      <w:pPr>
        <w:pStyle w:val="CaptionedFigure"/>
      </w:pPr>
      <w:r>
        <w:drawing>
          <wp:inline>
            <wp:extent cx="4267200" cy="1701644"/>
            <wp:effectExtent b="0" l="0" r="0" t="0"/>
            <wp:docPr descr="Файл обратной зоны 192.168.1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01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обратной зоны 192.168.1</w:t>
      </w:r>
    </w:p>
    <w:bookmarkEnd w:id="66"/>
    <w:bookmarkEnd w:id="67"/>
    <w:bookmarkStart w:id="72" w:name="настройка-прав-и-контекстов-selinux"/>
    <w:p>
      <w:pPr>
        <w:pStyle w:val="Heading2"/>
      </w:pPr>
      <w:r>
        <w:t xml:space="preserve">Настройка прав и контекстов SELinux</w:t>
      </w:r>
    </w:p>
    <w:bookmarkStart w:id="71" w:name="fig:013"/>
    <w:p>
      <w:pPr>
        <w:pStyle w:val="CaptionedFigure"/>
      </w:pPr>
      <w:r>
        <w:drawing>
          <wp:inline>
            <wp:extent cx="4267200" cy="2789934"/>
            <wp:effectExtent b="0" l="0" r="0" t="0"/>
            <wp:docPr descr="Исправление прав доступа и контекстов SELinux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89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прав доступа и контекстов SELinux</w:t>
      </w:r>
    </w:p>
    <w:bookmarkEnd w:id="71"/>
    <w:bookmarkEnd w:id="72"/>
    <w:bookmarkEnd w:id="73"/>
    <w:bookmarkStart w:id="89" w:name="анализ-работы-dns-сервера"/>
    <w:p>
      <w:pPr>
        <w:pStyle w:val="Heading1"/>
      </w:pPr>
      <w:r>
        <w:t xml:space="preserve">Анализ работы DNS-сервера</w:t>
      </w:r>
    </w:p>
    <w:bookmarkStart w:id="78" w:name="проверка-через-dig"/>
    <w:p>
      <w:pPr>
        <w:pStyle w:val="Heading2"/>
      </w:pPr>
      <w:r>
        <w:t xml:space="preserve">Проверка через dig</w:t>
      </w:r>
    </w:p>
    <w:bookmarkStart w:id="77" w:name="fig:014"/>
    <w:p>
      <w:pPr>
        <w:pStyle w:val="CaptionedFigure"/>
      </w:pPr>
      <w:r>
        <w:drawing>
          <wp:inline>
            <wp:extent cx="4267200" cy="3327952"/>
            <wp:effectExtent b="0" l="0" r="0" t="0"/>
            <wp:docPr descr="Результат запроса dig ns.akabrikosov.net" title="" id="75" name="Picture"/>
            <a:graphic>
              <a:graphicData uri="http://schemas.openxmlformats.org/drawingml/2006/picture">
                <pic:pic>
                  <pic:nvPicPr>
                    <pic:cNvPr descr="image/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запроса dig ns.akabrikosov.net</w:t>
      </w:r>
    </w:p>
    <w:bookmarkEnd w:id="77"/>
    <w:bookmarkEnd w:id="78"/>
    <w:bookmarkStart w:id="83" w:name="проверка-через-host"/>
    <w:p>
      <w:pPr>
        <w:pStyle w:val="Heading2"/>
      </w:pPr>
      <w:r>
        <w:t xml:space="preserve">Проверка через host</w:t>
      </w:r>
    </w:p>
    <w:bookmarkStart w:id="82" w:name="fig:015"/>
    <w:p>
      <w:pPr>
        <w:pStyle w:val="CaptionedFigure"/>
      </w:pPr>
      <w:r>
        <w:drawing>
          <wp:inline>
            <wp:extent cx="4267200" cy="782763"/>
            <wp:effectExtent b="0" l="0" r="0" t="0"/>
            <wp:docPr descr="Проверка зоны командой host -l и host -a" title="" id="80" name="Picture"/>
            <a:graphic>
              <a:graphicData uri="http://schemas.openxmlformats.org/drawingml/2006/picture">
                <pic:pic>
                  <pic:nvPicPr>
                    <pic:cNvPr descr="image/1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82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зоны командой host -l и host -a</w:t>
      </w:r>
    </w:p>
    <w:bookmarkEnd w:id="82"/>
    <w:bookmarkEnd w:id="83"/>
    <w:bookmarkStart w:id="88" w:name="проверка-прямой-и-обратной-записи"/>
    <w:p>
      <w:pPr>
        <w:pStyle w:val="Heading2"/>
      </w:pPr>
      <w:r>
        <w:t xml:space="preserve">Проверка прямой и обратной записи</w:t>
      </w:r>
    </w:p>
    <w:bookmarkStart w:id="87" w:name="fig:016"/>
    <w:p>
      <w:pPr>
        <w:pStyle w:val="CaptionedFigure"/>
      </w:pPr>
      <w:r>
        <w:drawing>
          <wp:inline>
            <wp:extent cx="4267200" cy="3432482"/>
            <wp:effectExtent b="0" l="0" r="0" t="0"/>
            <wp:docPr descr="Проверка прямой и обратной записи" title="" id="85" name="Picture"/>
            <a:graphic>
              <a:graphicData uri="http://schemas.openxmlformats.org/drawingml/2006/picture">
                <pic:pic>
                  <pic:nvPicPr>
                    <pic:cNvPr descr="image/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прямой и обратной записи</w:t>
      </w:r>
    </w:p>
    <w:bookmarkEnd w:id="87"/>
    <w:bookmarkEnd w:id="88"/>
    <w:bookmarkEnd w:id="89"/>
    <w:bookmarkStart w:id="100" w:name="внесение-изменений-в-окружение"/>
    <w:p>
      <w:pPr>
        <w:pStyle w:val="Heading1"/>
      </w:pPr>
      <w:r>
        <w:t xml:space="preserve">Внесение изменений в окружение</w:t>
      </w:r>
    </w:p>
    <w:bookmarkStart w:id="94" w:name="Xcf462a420344ab4b01bbe619561f2b7367396a8"/>
    <w:p>
      <w:pPr>
        <w:pStyle w:val="Heading2"/>
      </w:pPr>
      <w:r>
        <w:t xml:space="preserve">Копирование конфигураций DNS в среду Vagrant</w:t>
      </w:r>
    </w:p>
    <w:bookmarkStart w:id="93" w:name="fig:017"/>
    <w:p>
      <w:pPr>
        <w:pStyle w:val="CaptionedFigure"/>
      </w:pPr>
      <w:r>
        <w:drawing>
          <wp:inline>
            <wp:extent cx="4267200" cy="2789614"/>
            <wp:effectExtent b="0" l="0" r="0" t="0"/>
            <wp:docPr descr="Создание структуры каталогов и копирование файлов DNS" title="" id="91" name="Picture"/>
            <a:graphic>
              <a:graphicData uri="http://schemas.openxmlformats.org/drawingml/2006/picture">
                <pic:pic>
                  <pic:nvPicPr>
                    <pic:cNvPr descr="image/1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структуры каталогов и копирование файлов DNS</w:t>
      </w:r>
    </w:p>
    <w:bookmarkEnd w:id="93"/>
    <w:bookmarkEnd w:id="94"/>
    <w:bookmarkStart w:id="99" w:name="автоматизация-конфигурации-через-dns.sh"/>
    <w:p>
      <w:pPr>
        <w:pStyle w:val="Heading2"/>
      </w:pPr>
      <w:r>
        <w:t xml:space="preserve">Автоматизация конфигурации через dns.sh</w:t>
      </w:r>
    </w:p>
    <w:bookmarkStart w:id="98" w:name="fig:018"/>
    <w:p>
      <w:pPr>
        <w:pStyle w:val="CaptionedFigure"/>
      </w:pPr>
      <w:r>
        <w:drawing>
          <wp:inline>
            <wp:extent cx="4267200" cy="3032664"/>
            <wp:effectExtent b="0" l="0" r="0" t="0"/>
            <wp:docPr descr="Содержимое скрипта dns.sh" title="" id="96" name="Picture"/>
            <a:graphic>
              <a:graphicData uri="http://schemas.openxmlformats.org/drawingml/2006/picture">
                <pic:pic>
                  <pic:nvPicPr>
                    <pic:cNvPr descr="image/1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2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скрипта dns.sh</w:t>
      </w:r>
    </w:p>
    <w:bookmarkEnd w:id="98"/>
    <w:bookmarkEnd w:id="99"/>
    <w:bookmarkEnd w:id="100"/>
    <w:bookmarkStart w:id="102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101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результате лабораторной работы был установлен и настроен DNS-сервер с использованием</w:t>
      </w:r>
      <w:r>
        <w:t xml:space="preserve"> </w:t>
      </w:r>
      <w:r>
        <w:rPr>
          <w:b/>
          <w:bCs/>
        </w:rPr>
        <w:t xml:space="preserve">bind</w:t>
      </w:r>
      <w:r>
        <w:t xml:space="preserve">.</w:t>
      </w:r>
      <w:r>
        <w:br/>
      </w:r>
      <w:r>
        <w:t xml:space="preserve">Созданы прямые и обратные зоны домена</w:t>
      </w:r>
      <w:r>
        <w:t xml:space="preserve"> </w:t>
      </w:r>
      <w:r>
        <w:rPr>
          <w:b/>
          <w:bCs/>
        </w:rPr>
        <w:t xml:space="preserve">akabrikosov.net</w:t>
      </w:r>
      <w:r>
        <w:t xml:space="preserve">, внесены необходимые записи.</w:t>
      </w:r>
      <w:r>
        <w:br/>
      </w:r>
      <w:r>
        <w:t xml:space="preserve">Настроены права доступа и контексты SELinux, реализована автоматизация конфигурации через скрипт</w:t>
      </w:r>
      <w:r>
        <w:t xml:space="preserve"> </w:t>
      </w:r>
      <w:r>
        <w:rPr>
          <w:b/>
          <w:bCs/>
        </w:rPr>
        <w:t xml:space="preserve">dns.sh</w:t>
      </w:r>
      <w:r>
        <w:t xml:space="preserve">.</w:t>
      </w:r>
      <w:r>
        <w:br/>
      </w:r>
      <w:r>
        <w:t xml:space="preserve">Работоспособность DNS-сервера подтверждена тестами утилит</w:t>
      </w:r>
      <w:r>
        <w:t xml:space="preserve"> </w:t>
      </w:r>
      <w:r>
        <w:rPr>
          <w:b/>
          <w:bCs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host</w:t>
      </w:r>
      <w:r>
        <w:t xml:space="preserve">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2026-03-23T07:34:25Z</dcterms:created>
  <dcterms:modified xsi:type="dcterms:W3CDTF">2026-03-23T07:34:25Z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№2 — Настройка и анализ работы DNS-сервера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