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Настройка DNS-сервера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DNSсервера, усвоение принципов работы системы доменных имён.</w:t>
      </w:r>
    </w:p>
    <w:bookmarkEnd w:id="20"/>
    <w:bookmarkStart w:id="9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установка-и-настройка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DNS-сервера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вход под пользователем, созданным ранее, и произведён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Установлены пакеты</w:t>
      </w:r>
      <w:r>
        <w:t xml:space="preserve"> </w:t>
      </w:r>
      <w:r>
        <w:rPr>
          <w:b/>
          <w:bCs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bind-utils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помощью утилиты</w:t>
      </w:r>
      <w:r>
        <w:t xml:space="preserve"> </w:t>
      </w:r>
      <w:r>
        <w:rPr>
          <w:b/>
          <w:bCs/>
        </w:rPr>
        <w:t xml:space="preserve">dig</w:t>
      </w:r>
      <w:r>
        <w:t xml:space="preserve"> </w:t>
      </w:r>
      <w:r>
        <w:t xml:space="preserve">выполнен запрос к DNS-адресу</w:t>
      </w:r>
      <w:r>
        <w:t xml:space="preserve"> </w:t>
      </w:r>
      <w:r>
        <w:rPr>
          <w:b/>
          <w:bCs/>
        </w:rPr>
        <w:t xml:space="preserve">www.yandex.ru</w:t>
      </w:r>
      <w:r>
        <w:t xml:space="preserve">.</w:t>
      </w:r>
      <w:r>
        <w:br/>
      </w:r>
      <w:r>
        <w:t xml:space="preserve">Получен ответ с тремя IP-адресами ресурса.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711584"/>
            <wp:effectExtent b="0" l="0" r="0" t="0"/>
            <wp:docPr descr="Рис. 1: Результат выполнения команды dig www.yandex.ru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Результат выполнения команды dig www.yandex.ru</w:t>
      </w:r>
    </w:p>
    <w:bookmarkEnd w:id="24"/>
    <w:p>
      <w:pPr>
        <w:numPr>
          <w:ilvl w:val="0"/>
          <w:numId w:val="1001"/>
        </w:numPr>
      </w:pPr>
      <w:r>
        <w:t xml:space="preserve">Проанализированы конфигурационные файлы DNS-сервера: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/etc/resolv.conf</w:t>
      </w:r>
      <w:r>
        <w:t xml:space="preserve"> </w:t>
      </w:r>
      <w:r>
        <w:t xml:space="preserve">— содержит настройки DNS-резолвера, в частности, указание на nameserver 10.0.2.3;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основной конфигурационный файл службы</w:t>
      </w:r>
      <w:r>
        <w:t xml:space="preserve"> </w:t>
      </w:r>
      <w:r>
        <w:rPr>
          <w:b/>
          <w:bCs/>
        </w:rPr>
        <w:t xml:space="preserve">named</w:t>
      </w:r>
      <w:r>
        <w:t xml:space="preserve">;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/var/named/named.ca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— файлы с зонами и корневыми серверами.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666631"/>
            <wp:effectExtent b="0" l="0" r="0" t="0"/>
            <wp:docPr descr="Рис. 2: Просмотр содержимого файлов resolv.conf и named.conf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6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Просмотр содержимого файлов resolv.conf и named.conf</w:t>
      </w:r>
    </w:p>
    <w:bookmarkEnd w:id="28"/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10601"/>
            <wp:effectExtent b="0" l="0" r="0" t="0"/>
            <wp:docPr descr="Рис. 3: Содержимое файла named.ca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Содержимое файла named.ca</w:t>
      </w:r>
    </w:p>
    <w:bookmarkEnd w:id="32"/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10601"/>
            <wp:effectExtent b="0" l="0" r="0" t="0"/>
            <wp:docPr descr="Рис. 4: Содержимое файлов named.localhost и named.loopback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Содержимое файлов named.localhost и named.loopback</w:t>
      </w:r>
    </w:p>
    <w:bookmarkEnd w:id="36"/>
    <w:p>
      <w:pPr>
        <w:numPr>
          <w:ilvl w:val="0"/>
          <w:numId w:val="1001"/>
        </w:numPr>
      </w:pPr>
      <w:r>
        <w:t xml:space="preserve">После запуска локального DNS-сервера выполнена проверка разрешения доменных имён через localhost.</w:t>
      </w:r>
      <w:r>
        <w:br/>
      </w:r>
      <w:r>
        <w:t xml:space="preserve">Результат показал аналогичный ответ, что подтверждает корректную работу DNS.</w:t>
      </w:r>
    </w:p>
    <w:bookmarkStart w:id="40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231518"/>
            <wp:effectExtent b="0" l="0" r="0" t="0"/>
            <wp:docPr descr="Рис. 5: Запрос к DNS через localhost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Запрос к DNS через localhost</w:t>
      </w:r>
    </w:p>
    <w:bookmarkEnd w:id="40"/>
    <w:p>
      <w:pPr>
        <w:numPr>
          <w:ilvl w:val="0"/>
          <w:numId w:val="1001"/>
        </w:numPr>
      </w:pPr>
      <w:r>
        <w:t xml:space="preserve">Настроен DNS по умолчанию для интерфейса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nmcli</w:t>
      </w:r>
      <w:r>
        <w:t xml:space="preserve">.</w:t>
      </w:r>
      <w:r>
        <w:br/>
      </w:r>
      <w:r>
        <w:t xml:space="preserve">Указан локальный адрес 127.0.0.1 как основной DNS-сервер.</w:t>
      </w:r>
    </w:p>
    <w:bookmarkStart w:id="4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654510"/>
            <wp:effectExtent b="0" l="0" r="0" t="0"/>
            <wp:docPr descr="Рис. 6: Настройка DNS с помощью nmcli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Настройка DNS с помощью nmcli</w:t>
      </w:r>
    </w:p>
    <w:bookmarkEnd w:id="44"/>
    <w:p>
      <w:pPr>
        <w:numPr>
          <w:ilvl w:val="0"/>
          <w:numId w:val="1001"/>
        </w:numPr>
      </w:pPr>
      <w:r>
        <w:t xml:space="preserve">Перезапущен сервис</w:t>
      </w:r>
      <w:r>
        <w:t xml:space="preserve"> </w:t>
      </w:r>
      <w:r>
        <w:rPr>
          <w:b/>
          <w:bCs/>
        </w:rPr>
        <w:t xml:space="preserve">NetworkManager</w:t>
      </w:r>
      <w:r>
        <w:t xml:space="preserve"> </w:t>
      </w:r>
      <w:r>
        <w:t xml:space="preserve">для применения изменений.</w:t>
      </w:r>
    </w:p>
    <w:p>
      <w:pPr>
        <w:numPr>
          <w:ilvl w:val="0"/>
          <w:numId w:val="1001"/>
        </w:numPr>
      </w:pPr>
      <w:r>
        <w:t xml:space="preserve">Внесены изменения 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listen-on port 53</w:t>
      </w:r>
      <w:r>
        <w:t xml:space="preserve"> </w:t>
      </w:r>
      <w:r>
        <w:t xml:space="preserve">изменена на</w:t>
      </w:r>
      <w:r>
        <w:t xml:space="preserve"> </w:t>
      </w:r>
      <w:r>
        <w:rPr>
          <w:rStyle w:val="VerbatimChar"/>
        </w:rPr>
        <w:t xml:space="preserve">{ 127.0.0.1; any; }</w:t>
      </w:r>
      <w:r>
        <w:t xml:space="preserve">;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добавлена директива</w:t>
      </w:r>
      <w:r>
        <w:t xml:space="preserve"> </w:t>
      </w:r>
      <w:r>
        <w:rPr>
          <w:rStyle w:val="VerbatimChar"/>
        </w:rPr>
        <w:t xml:space="preserve">allow-query { localhost; 192.168.0.0/16; };</w:t>
      </w:r>
      <w:r>
        <w:t xml:space="preserve">.</w:t>
      </w:r>
    </w:p>
    <w:bookmarkStart w:id="4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477113"/>
            <wp:effectExtent b="0" l="0" r="0" t="0"/>
            <wp:docPr descr="Рис. 7: Изменённый конфигурационный файл named.conf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7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Изменённый конфигурационный файл named.conf</w:t>
      </w:r>
    </w:p>
    <w:bookmarkEnd w:id="48"/>
    <w:p>
      <w:pPr>
        <w:numPr>
          <w:ilvl w:val="0"/>
          <w:numId w:val="1001"/>
        </w:numPr>
      </w:pPr>
      <w:r>
        <w:t xml:space="preserve">Настроен межсетевой экран — разрешён трафик для службы DNS.</w:t>
      </w:r>
    </w:p>
    <w:p>
      <w:pPr>
        <w:numPr>
          <w:ilvl w:val="0"/>
          <w:numId w:val="1001"/>
        </w:numPr>
      </w:pPr>
      <w:r>
        <w:t xml:space="preserve">Проверена активность службы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и прослушивание UDP-порта 53.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lsof</w:t>
      </w:r>
      <w:r>
        <w:t xml:space="preserve"> </w:t>
      </w:r>
      <w:r>
        <w:t xml:space="preserve">подтвердила, что процесс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обслуживает DNS-запросы.</w:t>
      </w:r>
    </w:p>
    <w:bookmarkStart w:id="5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462719"/>
            <wp:effectExtent b="0" l="0" r="0" t="0"/>
            <wp:docPr descr="Рис. 8: Проверка открытых UDP-портов" title="" id="50" name="Picture"/>
            <a:graphic>
              <a:graphicData uri="http://schemas.openxmlformats.org/drawingml/2006/picture">
                <pic:pic>
                  <pic:nvPicPr>
                    <pic:cNvPr descr="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Проверка открытых UDP-портов</w:t>
      </w:r>
    </w:p>
    <w:bookmarkEnd w:id="52"/>
    <w:bookmarkEnd w:id="53"/>
    <w:bookmarkStart w:id="74" w:name="конфигурирование-первичного-dns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первичного DNS-сервера</w:t>
      </w:r>
    </w:p>
    <w:p>
      <w:pPr>
        <w:numPr>
          <w:ilvl w:val="0"/>
          <w:numId w:val="1004"/>
        </w:numPr>
      </w:pPr>
      <w:r>
        <w:t xml:space="preserve">Скопирован шаблон описания DNS-зон</w:t>
      </w:r>
      <w:r>
        <w:t xml:space="preserve"> </w:t>
      </w:r>
      <w:r>
        <w:rPr>
          <w:b/>
          <w:bCs/>
        </w:rPr>
        <w:t xml:space="preserve">named.rfc1912.zones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b/>
          <w:bCs/>
        </w:rPr>
        <w:t xml:space="preserve">akabrikosov.net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добавлена строка для включения файла описания зоны:</w:t>
      </w:r>
    </w:p>
    <w:bookmarkStart w:id="57" w:name="fig:009"/>
    <w:p>
      <w:pPr>
        <w:pStyle w:val="CaptionedFigure"/>
      </w:pPr>
      <w:r>
        <w:drawing>
          <wp:inline>
            <wp:extent cx="4267200" cy="1701644"/>
            <wp:effectExtent b="0" l="0" r="0" t="0"/>
            <wp:docPr descr="Рис. 9: Добавление файла описания зоны в named.conf" title="" id="55" name="Picture"/>
            <a:graphic>
              <a:graphicData uri="http://schemas.openxmlformats.org/drawingml/2006/picture">
                <pic:pic>
                  <pic:nvPicPr>
                    <pic:cNvPr descr="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01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файла описания зоны в named.conf</w:t>
      </w:r>
    </w:p>
    <w:bookmarkEnd w:id="57"/>
    <w:p>
      <w:pPr>
        <w:pStyle w:val="Compact"/>
        <w:numPr>
          <w:ilvl w:val="0"/>
          <w:numId w:val="1005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/etc/named/akabrikosov.net</w:t>
      </w:r>
      <w:r>
        <w:t xml:space="preserve"> </w:t>
      </w:r>
      <w:r>
        <w:t xml:space="preserve">создано описание прямой и обратной зон.</w:t>
      </w:r>
      <w:r>
        <w:br/>
      </w:r>
      <w:r>
        <w:t xml:space="preserve">Для прямой зоны указан тип</w:t>
      </w:r>
      <w:r>
        <w:t xml:space="preserve"> </w:t>
      </w:r>
      <w:r>
        <w:rPr>
          <w:b/>
          <w:bCs/>
        </w:rPr>
        <w:t xml:space="preserve">master</w:t>
      </w:r>
      <w:r>
        <w:t xml:space="preserve">, путь к файлу зоны и запрещено обновление записей.</w:t>
      </w:r>
      <w:r>
        <w:br/>
      </w:r>
      <w:r>
        <w:t xml:space="preserve">Аналогично определена обратная зона для сети</w:t>
      </w:r>
      <w:r>
        <w:t xml:space="preserve"> </w:t>
      </w:r>
      <w:r>
        <w:rPr>
          <w:b/>
          <w:bCs/>
        </w:rPr>
        <w:t xml:space="preserve">192.168.1.0/24</w:t>
      </w:r>
      <w:r>
        <w:t xml:space="preserve">.</w:t>
      </w:r>
    </w:p>
    <w:bookmarkStart w:id="61" w:name="fig:010"/>
    <w:p>
      <w:pPr>
        <w:pStyle w:val="CaptionedFigure"/>
      </w:pPr>
      <w:r>
        <w:drawing>
          <wp:inline>
            <wp:extent cx="4267200" cy="2789934"/>
            <wp:effectExtent b="0" l="0" r="0" t="0"/>
            <wp:docPr descr="Рис. 10: Описание прямой и обратной зон в файле akabrikosov.net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89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Описание прямой и обратной зон в файле akabrikosov.net</w:t>
      </w:r>
    </w:p>
    <w:bookmarkEnd w:id="61"/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созданы подкаталоги</w:t>
      </w:r>
      <w:r>
        <w:t xml:space="preserve"> </w:t>
      </w:r>
      <w:r>
        <w:rPr>
          <w:b/>
          <w:bCs/>
        </w:rPr>
        <w:t xml:space="preserve">master/fz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master/rz</w:t>
      </w:r>
      <w:r>
        <w:t xml:space="preserve"> </w:t>
      </w:r>
      <w:r>
        <w:t xml:space="preserve">для хранения файлов прямой и обратной зон.</w:t>
      </w:r>
    </w:p>
    <w:p>
      <w:pPr>
        <w:numPr>
          <w:ilvl w:val="0"/>
          <w:numId w:val="1006"/>
        </w:numPr>
      </w:pPr>
      <w:r>
        <w:t xml:space="preserve">На основе шаблона</w:t>
      </w:r>
      <w:r>
        <w:t xml:space="preserve"> </w:t>
      </w:r>
      <w:r>
        <w:rPr>
          <w:b/>
          <w:bCs/>
        </w:rPr>
        <w:t xml:space="preserve">named.localhost</w:t>
      </w:r>
      <w:r>
        <w:t xml:space="preserve"> </w:t>
      </w:r>
      <w:r>
        <w:t xml:space="preserve">создан файл прямой зоны</w:t>
      </w:r>
      <w:r>
        <w:t xml:space="preserve"> </w:t>
      </w:r>
      <w:r>
        <w:rPr>
          <w:b/>
          <w:bCs/>
        </w:rPr>
        <w:t xml:space="preserve">akabrikosov.net</w:t>
      </w:r>
      <w:r>
        <w:t xml:space="preserve">.</w:t>
      </w:r>
      <w:r>
        <w:br/>
      </w:r>
      <w:r>
        <w:t xml:space="preserve">В нём прописаны необходимые DNS-записи: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сервер с именем</w:t>
      </w:r>
      <w:r>
        <w:t xml:space="preserve"> </w:t>
      </w:r>
      <w:r>
        <w:rPr>
          <w:b/>
          <w:bCs/>
        </w:rPr>
        <w:t xml:space="preserve">server.akabrikosov.net</w:t>
      </w:r>
      <w:r>
        <w:t xml:space="preserve">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адрес сервера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;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записи для NS и A в соответствии с конфигурацией.</w:t>
      </w:r>
    </w:p>
    <w:bookmarkStart w:id="65" w:name="fig:011"/>
    <w:p>
      <w:pPr>
        <w:pStyle w:val="CaptionedFigure"/>
      </w:pPr>
      <w:r>
        <w:drawing>
          <wp:inline>
            <wp:extent cx="4267200" cy="3327952"/>
            <wp:effectExtent b="0" l="0" r="0" t="0"/>
            <wp:docPr descr="Рис. 11: Файл прямой зоны akabrikosov.net" title="" id="63" name="Picture"/>
            <a:graphic>
              <a:graphicData uri="http://schemas.openxmlformats.org/drawingml/2006/picture">
                <pic:pic>
                  <pic:nvPicPr>
                    <pic:cNvPr descr="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прямой зоны akabrikosov.net</w:t>
      </w:r>
    </w:p>
    <w:bookmarkEnd w:id="65"/>
    <w:p>
      <w:pPr>
        <w:pStyle w:val="Compact"/>
        <w:numPr>
          <w:ilvl w:val="0"/>
          <w:numId w:val="1008"/>
        </w:numPr>
      </w:pPr>
      <w:r>
        <w:t xml:space="preserve">На основе шаблона</w:t>
      </w:r>
      <w:r>
        <w:t xml:space="preserve"> </w:t>
      </w:r>
      <w:r>
        <w:rPr>
          <w:b/>
          <w:bCs/>
        </w:rPr>
        <w:t xml:space="preserve">named.loopback</w:t>
      </w:r>
      <w:r>
        <w:t xml:space="preserve"> </w:t>
      </w:r>
      <w:r>
        <w:t xml:space="preserve">создан файл обратной зоны</w:t>
      </w:r>
      <w:r>
        <w:t xml:space="preserve"> </w:t>
      </w:r>
      <w:r>
        <w:rPr>
          <w:b/>
          <w:bCs/>
        </w:rPr>
        <w:t xml:space="preserve">192.168.1</w:t>
      </w:r>
      <w:r>
        <w:t xml:space="preserve">.</w:t>
      </w:r>
      <w:r>
        <w:br/>
      </w:r>
      <w:r>
        <w:t xml:space="preserve">Добавлены PTR-записи для соответствия IP-адресов и DNS-имён.</w:t>
      </w:r>
    </w:p>
    <w:bookmarkStart w:id="69" w:name="fig:012"/>
    <w:p>
      <w:pPr>
        <w:pStyle w:val="CaptionedFigure"/>
      </w:pPr>
      <w:r>
        <w:drawing>
          <wp:inline>
            <wp:extent cx="4267200" cy="782763"/>
            <wp:effectExtent b="0" l="0" r="0" t="0"/>
            <wp:docPr descr="Рис. 12: Файл обратной зоны 192.168.1" title="" id="67" name="Picture"/>
            <a:graphic>
              <a:graphicData uri="http://schemas.openxmlformats.org/drawingml/2006/picture">
                <pic:pic>
                  <pic:nvPicPr>
                    <pic:cNvPr descr="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Файл обратной зоны 192.168.1</w:t>
      </w:r>
    </w:p>
    <w:bookmarkEnd w:id="69"/>
    <w:p>
      <w:pPr>
        <w:pStyle w:val="Compact"/>
        <w:numPr>
          <w:ilvl w:val="0"/>
          <w:numId w:val="1009"/>
        </w:numPr>
      </w:pPr>
      <w:r>
        <w:t xml:space="preserve">Исправлены права доступа к каталогам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чтобы демон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мог работать с файлами.</w:t>
      </w:r>
      <w:r>
        <w:br/>
      </w:r>
      <w:r>
        <w:t xml:space="preserve">После этого восстановлены метки SELinux и активированы необходимые разрешения.</w:t>
      </w:r>
      <w:r>
        <w:br/>
      </w:r>
      <w:r>
        <w:t xml:space="preserve">Проверена конфигурация с помощью команд</w:t>
      </w:r>
      <w:r>
        <w:t xml:space="preserve"> </w:t>
      </w:r>
      <w:r>
        <w:rPr>
          <w:rStyle w:val="VerbatimChar"/>
        </w:rPr>
        <w:t xml:space="preserve">getsebool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</w:t>
      </w:r>
    </w:p>
    <w:bookmarkStart w:id="73" w:name="fig:013"/>
    <w:p>
      <w:pPr>
        <w:pStyle w:val="CaptionedFigure"/>
      </w:pPr>
      <w:r>
        <w:drawing>
          <wp:inline>
            <wp:extent cx="4267200" cy="3432482"/>
            <wp:effectExtent b="0" l="0" r="0" t="0"/>
            <wp:docPr descr="Рис. 13: Исправление прав доступа и контекстов SELinux" title="" id="71" name="Picture"/>
            <a:graphic>
              <a:graphicData uri="http://schemas.openxmlformats.org/drawingml/2006/picture">
                <pic:pic>
                  <pic:nvPicPr>
                    <pic:cNvPr descr="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Исправление прав доступа и контекстов SELinux</w:t>
      </w:r>
    </w:p>
    <w:bookmarkEnd w:id="73"/>
    <w:p>
      <w:pPr>
        <w:pStyle w:val="Compact"/>
        <w:numPr>
          <w:ilvl w:val="0"/>
          <w:numId w:val="1010"/>
        </w:numPr>
      </w:pPr>
      <w:r>
        <w:t xml:space="preserve">Перезапущен DNS-сервер:</w:t>
      </w:r>
      <w:r>
        <w:t xml:space="preserve"> </w:t>
      </w:r>
      <w:r>
        <w:t xml:space="preserve">Ошибок при запуске не выявлено, что подтверждает корректность конфигурации и работу DNS-сервера.</w:t>
      </w:r>
    </w:p>
    <w:bookmarkEnd w:id="74"/>
    <w:bookmarkStart w:id="87" w:name="анализ-работы-dns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работы DNS-сервера</w:t>
      </w:r>
    </w:p>
    <w:p>
      <w:pPr>
        <w:numPr>
          <w:ilvl w:val="0"/>
          <w:numId w:val="1011"/>
        </w:numPr>
      </w:pPr>
      <w:r>
        <w:t xml:space="preserve">При помощи утилиты</w:t>
      </w:r>
      <w:r>
        <w:t xml:space="preserve"> </w:t>
      </w:r>
      <w:r>
        <w:rPr>
          <w:b/>
          <w:bCs/>
        </w:rPr>
        <w:t xml:space="preserve">dig</w:t>
      </w:r>
      <w:r>
        <w:t xml:space="preserve"> </w:t>
      </w:r>
      <w:r>
        <w:t xml:space="preserve">получено описание DNS-зоны с сервера</w:t>
      </w:r>
      <w:r>
        <w:t xml:space="preserve"> </w:t>
      </w:r>
      <w:r>
        <w:rPr>
          <w:b/>
          <w:bCs/>
        </w:rPr>
        <w:t xml:space="preserve">ns.akabrikosov.net</w:t>
      </w:r>
      <w:r>
        <w:t xml:space="preserve">.</w:t>
      </w:r>
      <w:r>
        <w:br/>
      </w:r>
      <w:r>
        <w:t xml:space="preserve">Результат показал корректное разрешение имени и возвращение IP-адреса 192.168.1.1.</w:t>
      </w:r>
    </w:p>
    <w:bookmarkStart w:id="78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789614"/>
            <wp:effectExtent b="0" l="0" r="0" t="0"/>
            <wp:docPr descr="Рис. 14: Результат запроса dig ns.akabrikosov.net" title="" id="76" name="Picture"/>
            <a:graphic>
              <a:graphicData uri="http://schemas.openxmlformats.org/drawingml/2006/picture">
                <pic:pic>
                  <pic:nvPicPr>
                    <pic:cNvPr descr="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Результат запроса dig ns.akabrikosov.net</w:t>
      </w:r>
    </w:p>
    <w:bookmarkEnd w:id="78"/>
    <w:p>
      <w:pPr>
        <w:numPr>
          <w:ilvl w:val="0"/>
          <w:numId w:val="1011"/>
        </w:numPr>
      </w:pPr>
      <w:r>
        <w:t xml:space="preserve">С помощью утилиты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проведён анализ корректности работы DNS-сервера:</w:t>
      </w:r>
    </w:p>
    <w:p>
      <w:pPr>
        <w:pStyle w:val="Compact"/>
        <w:numPr>
          <w:ilvl w:val="1"/>
          <w:numId w:val="101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-l akabrikosov.net</w:t>
      </w:r>
      <w:r>
        <w:t xml:space="preserve"> </w:t>
      </w:r>
      <w:r>
        <w:t xml:space="preserve">показала наличие записей</w:t>
      </w:r>
      <w:r>
        <w:t xml:space="preserve"> </w:t>
      </w:r>
      <w:r>
        <w:rPr>
          <w:rStyle w:val="VerbatimChar"/>
        </w:rPr>
        <w:t xml:space="preserve">NS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SOA</w:t>
      </w:r>
      <w:r>
        <w:t xml:space="preserve">;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host -a akabrikosov.net</w:t>
      </w:r>
      <w:r>
        <w:t xml:space="preserve"> </w:t>
      </w:r>
      <w:r>
        <w:t xml:space="preserve">подтвердила корректность зоновой информации.</w:t>
      </w:r>
    </w:p>
    <w:bookmarkStart w:id="82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32664"/>
            <wp:effectExtent b="0" l="0" r="0" t="0"/>
            <wp:docPr descr="Рис. 15: Проверка зоны командой host -l и host -a" title="" id="80" name="Picture"/>
            <a:graphic>
              <a:graphicData uri="http://schemas.openxmlformats.org/drawingml/2006/picture">
                <pic:pic>
                  <pic:nvPicPr>
                    <pic:cNvPr descr="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15: Проверка зоны командой host -l и host -a</w:t>
      </w:r>
    </w:p>
    <w:bookmarkEnd w:id="82"/>
    <w:p>
      <w:pPr>
        <w:numPr>
          <w:ilvl w:val="0"/>
          <w:numId w:val="1011"/>
        </w:numPr>
      </w:pPr>
      <w:r>
        <w:t xml:space="preserve">Проверена прямая запись (тип</w:t>
      </w:r>
      <w:r>
        <w:t xml:space="preserve"> </w:t>
      </w:r>
      <w:r>
        <w:rPr>
          <w:b/>
          <w:bCs/>
        </w:rPr>
        <w:t xml:space="preserve">A</w:t>
      </w:r>
      <w:r>
        <w:t xml:space="preserve">) и обратная запись (тип</w:t>
      </w:r>
      <w:r>
        <w:t xml:space="preserve"> </w:t>
      </w:r>
      <w:r>
        <w:rPr>
          <w:b/>
          <w:bCs/>
        </w:rPr>
        <w:t xml:space="preserve">PTR</w:t>
      </w:r>
      <w:r>
        <w:t xml:space="preserve">) для IP-адреса 192.168.1.1.</w:t>
      </w:r>
      <w:r>
        <w:br/>
      </w:r>
      <w:r>
        <w:t xml:space="preserve">Результаты подтвердили соответствие доменных имён</w:t>
      </w:r>
      <w:r>
        <w:t xml:space="preserve"> </w:t>
      </w:r>
      <w:r>
        <w:rPr>
          <w:b/>
          <w:bCs/>
        </w:rPr>
        <w:t xml:space="preserve">server.akabrikosov.net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ns.akabrikosov.net</w:t>
      </w:r>
      <w:r>
        <w:t xml:space="preserve"> </w:t>
      </w:r>
      <w:r>
        <w:t xml:space="preserve">IP-адресу 192.168.1.1.</w:t>
      </w:r>
    </w:p>
    <w:bookmarkStart w:id="86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20602"/>
            <wp:effectExtent b="0" l="0" r="0" t="0"/>
            <wp:docPr descr="Рис. 16: Проверка прямой и обратной записи" title="" id="84" name="Picture"/>
            <a:graphic>
              <a:graphicData uri="http://schemas.openxmlformats.org/drawingml/2006/picture">
                <pic:pic>
                  <pic:nvPicPr>
                    <pic:cNvPr descr="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0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16: Проверка прямой и обратной записи</w:t>
      </w:r>
    </w:p>
    <w:bookmarkEnd w:id="86"/>
    <w:bookmarkEnd w:id="87"/>
    <w:bookmarkStart w:id="96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13"/>
        </w:numPr>
      </w:pPr>
      <w:r>
        <w:t xml:space="preserve">В каталоге</w:t>
      </w:r>
      <w:r>
        <w:t xml:space="preserve"> </w:t>
      </w:r>
      <w:r>
        <w:rPr>
          <w:b/>
          <w:bCs/>
        </w:rPr>
        <w:t xml:space="preserve">/vagrant/provision/server/</w:t>
      </w:r>
      <w:r>
        <w:t xml:space="preserve"> </w:t>
      </w:r>
      <w:r>
        <w:t xml:space="preserve">создана структура каталогов для конфигурационных файлов DNS: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/vagrant/provision/server/dns/etc/named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/vagrant/provision/server/dns/var/named/master/</w:t>
      </w:r>
    </w:p>
    <w:p>
      <w:pPr>
        <w:numPr>
          <w:ilvl w:val="0"/>
          <w:numId w:val="1000"/>
        </w:numPr>
      </w:pPr>
      <w:r>
        <w:t xml:space="preserve">После чего скопированы необходимые конфигурационные файлы из рабочих каталогов</w:t>
      </w:r>
      <w:r>
        <w:t xml:space="preserve"> </w:t>
      </w:r>
      <w:r>
        <w:rPr>
          <w:b/>
          <w:bCs/>
        </w:rPr>
        <w:t xml:space="preserve">/etc/named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/var/named/master</w:t>
      </w:r>
      <w:r>
        <w:t xml:space="preserve">.</w:t>
      </w:r>
    </w:p>
    <w:bookmarkStart w:id="91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722120"/>
            <wp:effectExtent b="0" l="0" r="0" t="0"/>
            <wp:docPr descr="Рис. 17: Создание структуры каталогов и копирование файлов DNS" title="" id="89" name="Picture"/>
            <a:graphic>
              <a:graphicData uri="http://schemas.openxmlformats.org/drawingml/2006/picture">
                <pic:pic>
                  <pic:nvPicPr>
                    <pic:cNvPr descr="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17: Создание структуры каталогов и копирование файлов DNS</w:t>
      </w:r>
    </w:p>
    <w:bookmarkEnd w:id="91"/>
    <w:p>
      <w:pPr>
        <w:numPr>
          <w:ilvl w:val="0"/>
          <w:numId w:val="1013"/>
        </w:numPr>
      </w:pPr>
      <w:r>
        <w:t xml:space="preserve">В каталоге</w:t>
      </w:r>
      <w:r>
        <w:t xml:space="preserve"> </w:t>
      </w:r>
      <w:r>
        <w:rPr>
          <w:b/>
          <w:bCs/>
        </w:rPr>
        <w:t xml:space="preserve">/vagrant/provision/server/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b/>
          <w:bCs/>
        </w:rPr>
        <w:t xml:space="preserve">dns.sh</w:t>
      </w:r>
      <w:r>
        <w:t xml:space="preserve">, предназначенный для автоматизации настройки DNS-сервера при развертывании виртуальной машины.</w:t>
      </w:r>
      <w:r>
        <w:br/>
      </w:r>
      <w:r>
        <w:t xml:space="preserve">В скрипт добавлены команды установки пакетов, копирования конфигураций, настройки SELinux, файрвола и параметров NetworkManager.</w:t>
      </w:r>
    </w:p>
    <w:bookmarkStart w:id="95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534740"/>
            <wp:effectExtent b="0" l="0" r="0" t="0"/>
            <wp:docPr descr="Рис. 18: Содержимое скрипта dns.sh" title="" id="93" name="Picture"/>
            <a:graphic>
              <a:graphicData uri="http://schemas.openxmlformats.org/drawingml/2006/picture">
                <pic:pic>
                  <pic:nvPicPr>
                    <pic:cNvPr descr="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3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18: Содержимое скрипта dns.sh</w:t>
      </w:r>
    </w:p>
    <w:bookmarkEnd w:id="95"/>
    <w:p>
      <w:pPr>
        <w:numPr>
          <w:ilvl w:val="0"/>
          <w:numId w:val="1013"/>
        </w:numPr>
      </w:pPr>
      <w:r>
        <w:t xml:space="preserve">Скрипт включает автоматическую настройку интерфейса</w:t>
      </w:r>
      <w:r>
        <w:t xml:space="preserve"> </w:t>
      </w:r>
      <w:r>
        <w:rPr>
          <w:b/>
          <w:bCs/>
        </w:rPr>
        <w:t xml:space="preserve">eth0</w:t>
      </w:r>
      <w:r>
        <w:t xml:space="preserve">, установку DNS по умолчанию, запуск и включение службы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в автозагрузку.</w:t>
      </w:r>
      <w:r>
        <w:br/>
      </w:r>
      <w:r>
        <w:t xml:space="preserve">После выполнения скрипта DNS-сервер готов к использованию.</w:t>
      </w:r>
    </w:p>
    <w:bookmarkEnd w:id="96"/>
    <w:bookmarkEnd w:id="97"/>
    <w:bookmarkStart w:id="9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установлен и настроен DNS-сервер с использованием пакета</w:t>
      </w:r>
      <w:r>
        <w:t xml:space="preserve"> </w:t>
      </w:r>
      <w:r>
        <w:rPr>
          <w:b/>
          <w:bCs/>
        </w:rPr>
        <w:t xml:space="preserve">bind</w:t>
      </w:r>
      <w:r>
        <w:t xml:space="preserve">.</w:t>
      </w:r>
      <w:r>
        <w:br/>
      </w:r>
      <w:r>
        <w:t xml:space="preserve">Были созданы прямые и обратные зоны, внесены записи для домена</w:t>
      </w:r>
      <w:r>
        <w:t xml:space="preserve"> </w:t>
      </w:r>
      <w:r>
        <w:rPr>
          <w:b/>
          <w:bCs/>
        </w:rPr>
        <w:t xml:space="preserve">akabrikosov.net</w:t>
      </w:r>
      <w:r>
        <w:t xml:space="preserve">, настроены права доступа и контексты SELinux.</w:t>
      </w:r>
      <w:r>
        <w:br/>
      </w:r>
      <w:r>
        <w:t xml:space="preserve">DNS-сервер успешно прошёл тестирование при помощи утилит</w:t>
      </w:r>
      <w:r>
        <w:t xml:space="preserve"> </w:t>
      </w:r>
      <w:r>
        <w:rPr>
          <w:b/>
          <w:bCs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host</w:t>
      </w:r>
      <w:r>
        <w:t xml:space="preserve">, корректно разрешая доменные имена и IP-адреса.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Что такое DNS</w:t>
      </w:r>
      <w:r>
        <w:br/>
      </w:r>
      <w:r>
        <w:t xml:space="preserve">DNS (Domain Name System) — это система доменных имён, предназначенная для преобразования доменных имён в IP-адреса и обратно.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Каково назначение кэширующего DNS-сервера</w:t>
      </w:r>
      <w:r>
        <w:br/>
      </w:r>
      <w:r>
        <w:t xml:space="preserve">Кэширующий DNS-сервер хранит результаты запросов к другим серверам, ускоряя последующие обращения к тем же доменам и снижая сетевую нагрузку.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Чем отличается прямая DNS-зона от обратной</w:t>
      </w:r>
      <w:r>
        <w:br/>
      </w:r>
      <w:r>
        <w:t xml:space="preserve">Прямая зона преобразует доменные имена в IP-адреса, а обратная — наоборот, IP-адреса в доменные имена.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В каких каталогах и файлах располагаются настройки DNS-сервера</w:t>
      </w:r>
      <w:r>
        <w:br/>
      </w:r>
      <w:r>
        <w:t xml:space="preserve">Основные файлы конфигурации находятся в каталогах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.</w:t>
      </w:r>
      <w:r>
        <w:br/>
      </w:r>
      <w:r>
        <w:t xml:space="preserve">В них задаются параметры сервера, описания зон и пути к файлам с записями DNS.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Что указывается в файле resolv.conf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указываются DNS-серверы, используемые системой для разрешения имён.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Какие типы записи описания ресурсов есть в DNS</w:t>
      </w:r>
      <w:r>
        <w:br/>
      </w:r>
      <w:r>
        <w:t xml:space="preserve">Основные типы: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— IPv4-адрес узла;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AAAA</w:t>
      </w:r>
      <w:r>
        <w:t xml:space="preserve"> </w:t>
      </w:r>
      <w:r>
        <w:t xml:space="preserve">— IPv6-адрес;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NS</w:t>
      </w:r>
      <w:r>
        <w:t xml:space="preserve"> </w:t>
      </w:r>
      <w:r>
        <w:t xml:space="preserve">— сервер имён зоны;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SOA</w:t>
      </w:r>
      <w:r>
        <w:t xml:space="preserve"> </w:t>
      </w:r>
      <w:r>
        <w:t xml:space="preserve">— начальная запись зоны;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PTR</w:t>
      </w:r>
      <w:r>
        <w:t xml:space="preserve"> </w:t>
      </w:r>
      <w:r>
        <w:t xml:space="preserve">— обратная запись;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MX</w:t>
      </w:r>
      <w:r>
        <w:t xml:space="preserve"> </w:t>
      </w:r>
      <w:r>
        <w:t xml:space="preserve">— почтовый сервер;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CNAME</w:t>
      </w:r>
      <w:r>
        <w:t xml:space="preserve"> </w:t>
      </w:r>
      <w:r>
        <w:t xml:space="preserve">— псевдоним (алиас) имени.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Для чего используется домен in-addr.arpa</w:t>
      </w:r>
      <w:r>
        <w:br/>
      </w:r>
      <w:r>
        <w:t xml:space="preserve">Этот домен применяется для организации обратного разрешения IP-адресов в доменные имена.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Для чего нужен демон named</w:t>
      </w:r>
      <w:r>
        <w:br/>
      </w:r>
      <w:r>
        <w:t xml:space="preserve">Демон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— это служба, обеспечивающая работу DNS-сервера (Bind), обрабатывающая запросы клиентов и предоставляющая ответы.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В чём заключаются основные функции slave-сервера и master-сервера</w:t>
      </w:r>
      <w:r>
        <w:br/>
      </w:r>
      <w:r>
        <w:t xml:space="preserve">Master-сервер хранит оригинальные файлы зон, а slave-сервер получает их копии и обслуживает клиентов при недоступности master.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Какие параметры отвечают за время обновления зоны</w:t>
      </w:r>
      <w:r>
        <w:br/>
      </w:r>
      <w:r>
        <w:t xml:space="preserve">В записи</w:t>
      </w:r>
      <w:r>
        <w:t xml:space="preserve"> </w:t>
      </w:r>
      <w:r>
        <w:rPr>
          <w:b/>
          <w:bCs/>
        </w:rPr>
        <w:t xml:space="preserve">SOA</w:t>
      </w:r>
      <w:r>
        <w:t xml:space="preserve"> </w:t>
      </w:r>
      <w:r>
        <w:t xml:space="preserve">параметры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 </w:t>
      </w:r>
      <w:r>
        <w:t xml:space="preserve">определяют интервалы обновления и срок действия зон.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обеспечить защиту зоны от скачивания и просмотра</w:t>
      </w:r>
      <w:r>
        <w:br/>
      </w:r>
      <w:r>
        <w:t xml:space="preserve">Защиту можно реализовать с помощью ACL (Access Control List), директив</w:t>
      </w:r>
      <w:r>
        <w:t xml:space="preserve"> </w:t>
      </w:r>
      <w:r>
        <w:rPr>
          <w:rStyle w:val="VerbatimChar"/>
        </w:rPr>
        <w:t xml:space="preserve">allow-transfer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, а также DNSSEC.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Какая запись RR применяется при создании почтовых серверов</w:t>
      </w:r>
      <w:r>
        <w:br/>
      </w:r>
      <w:r>
        <w:t xml:space="preserve">Для почтовых серверов используется запись</w:t>
      </w:r>
      <w:r>
        <w:t xml:space="preserve"> </w:t>
      </w:r>
      <w:r>
        <w:rPr>
          <w:b/>
          <w:bCs/>
        </w:rPr>
        <w:t xml:space="preserve">MX</w:t>
      </w:r>
      <w:r>
        <w:t xml:space="preserve"> </w:t>
      </w:r>
      <w:r>
        <w:t xml:space="preserve">(Mail Exchange).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протестировать работу сервера доменных имён</w:t>
      </w:r>
      <w:r>
        <w:br/>
      </w:r>
      <w:r>
        <w:t xml:space="preserve">С помощью утилит</w:t>
      </w:r>
      <w:r>
        <w:t xml:space="preserve"> </w:t>
      </w:r>
      <w:r>
        <w:rPr>
          <w:b/>
          <w:bCs/>
        </w:rPr>
        <w:t xml:space="preserve">dig</w:t>
      </w:r>
      <w:r>
        <w:t xml:space="preserve">,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nslookup</w:t>
      </w:r>
      <w:r>
        <w:t xml:space="preserve">, выполняя запросы к доменам и проверяя корректность ответов.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запустить, перезапустить или остановить службу</w:t>
      </w:r>
      <w:r>
        <w:br/>
      </w:r>
      <w:r>
        <w:t xml:space="preserve">Используются команды:</w:t>
      </w:r>
      <w:r>
        <w:br/>
      </w:r>
      <w:r>
        <w:rPr>
          <w:rStyle w:val="VerbatimChar"/>
        </w:rPr>
        <w:t xml:space="preserve">systemctl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systemctl stop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посмотреть отладочную информацию при запуске сервиса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journalctl -xeu &lt;имя_сервиса&gt;</w:t>
      </w:r>
      <w:r>
        <w:t xml:space="preserve"> </w:t>
      </w:r>
      <w:r>
        <w:t xml:space="preserve">или анализа логов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Где хранится отладочная информация по работе системы и служб</w:t>
      </w:r>
      <w:r>
        <w:br/>
      </w:r>
      <w:r>
        <w:t xml:space="preserve">Логи хранятся в</w:t>
      </w:r>
      <w:r>
        <w:t xml:space="preserve"> </w:t>
      </w:r>
      <w:r>
        <w:rPr>
          <w:rStyle w:val="VerbatimChar"/>
        </w:rPr>
        <w:t xml:space="preserve">/var/log/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named.log</w:t>
      </w:r>
      <w:r>
        <w:t xml:space="preserve">).</w:t>
      </w:r>
      <w:r>
        <w:br/>
      </w:r>
      <w:r>
        <w:t xml:space="preserve">Просмотр осуществляется через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посмотреть, какие файлы использует процесс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lsof -p &lt;PID&gt;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lsof | grep &lt;имя_процесса&gt;</w:t>
      </w:r>
      <w:r>
        <w:t xml:space="preserve">.</w:t>
      </w:r>
      <w:r>
        <w:br/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lsof -p 1234</w:t>
      </w:r>
      <w:r>
        <w:t xml:space="preserve"> </w:t>
      </w:r>
      <w:r>
        <w:t xml:space="preserve">покажет все открытые файлы процесса.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Примеры изменения сетевого соединения через nmcli</w:t>
      </w:r>
      <w:r>
        <w:br/>
      </w:r>
      <w:r>
        <w:rPr>
          <w:rStyle w:val="VerbatimChar"/>
        </w:rPr>
        <w:t xml:space="preserve">nmcli connection modify eth0 ipv4.addresses 192.168.1.10/24       nmcli connection modify eth0 ipv4.gateway 192.168.1.1       nmcli connection modify eth0 ipv4.dns 127.0.0.1       nmcli connection up eth0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Что такое SELinux</w:t>
      </w:r>
      <w:r>
        <w:br/>
      </w:r>
      <w:r>
        <w:t xml:space="preserve">SELinux (Security-Enhanced Linux) — подсистема безопасности ядра Linux, контролирующая доступ процессов к ресурсам.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Что такое контекст SELinux</w:t>
      </w:r>
      <w:r>
        <w:br/>
      </w:r>
      <w:r>
        <w:t xml:space="preserve">Контекст — это метка безопасности, определяющая права доступа процессов и файлов в рамках политики SELinux.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восстановить контекст SELinux после изменений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restorecon -vR &lt;каталог&gt;</w:t>
      </w:r>
      <w:r>
        <w:t xml:space="preserve"> </w:t>
      </w:r>
      <w:r>
        <w:t xml:space="preserve">можно восстановить корректные метки для файлов.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создать разрешающие правила политики SELinux</w:t>
      </w:r>
      <w:r>
        <w:br/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, анализирующей логи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 формирующей необходимые правила.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Что такое булевый переключатель в SELinux</w:t>
      </w:r>
      <w:r>
        <w:br/>
      </w:r>
      <w:r>
        <w:t xml:space="preserve">Булевый переключатель управляет отдельными аспектами политики безопасности, позволяя включать или отключать функции.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посмотреть список переключателей SELinux</w:t>
      </w:r>
      <w:r>
        <w:br/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getsebool -a</w:t>
      </w:r>
      <w:r>
        <w:t xml:space="preserve"> </w:t>
      </w:r>
      <w:r>
        <w:t xml:space="preserve">можно вывести все доступные переключатели и их состояние.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 изменить значение переключателя SELinux</w:t>
      </w:r>
      <w:r>
        <w:br/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setsebool &lt;имя&gt; on/off</w:t>
      </w:r>
      <w:r>
        <w:t xml:space="preserve"> </w:t>
      </w:r>
      <w:r>
        <w:t xml:space="preserve">или с параметром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для сохранения изменений после перезагрузки.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Талебу Тенке Франк Устон</dc:creator>
  <dc:language>ru-RU</dc:language>
  <cp:keywords/>
  <dcterms:created xsi:type="dcterms:W3CDTF">2026-03-23T01:27:24Z</dcterms:created>
  <dcterms:modified xsi:type="dcterms:W3CDTF">2026-03-23T01:27:24Z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ate">
    <vt:lpwstr/>
  </property>
  <property fmtid="{D5CDD505-2E9C-101B-9397-08002B2CF9AE}" pid="21" name="documentclass">
    <vt:lpwstr>scrreprt</vt:lpwstr>
  </property>
  <property fmtid="{D5CDD505-2E9C-101B-9397-08002B2CF9AE}" pid="22" name="email">
    <vt:lpwstr>1032224534@pfur.ru</vt:lpwstr>
  </property>
  <property fmtid="{D5CDD505-2E9C-101B-9397-08002B2CF9AE}" pid="23" name="eqLabels">
    <vt:lpwstr>arabic</vt:lpwstr>
  </property>
  <property fmtid="{D5CDD505-2E9C-101B-9397-08002B2CF9AE}" pid="24" name="eqnBlockInlineMath">
    <vt:lpwstr>False</vt:lpwstr>
  </property>
  <property fmtid="{D5CDD505-2E9C-101B-9397-08002B2CF9AE}" pid="25" name="eqnBlockTemplate">
    <vt:lpwstr>ti</vt:lpwstr>
  </property>
  <property fmtid="{D5CDD505-2E9C-101B-9397-08002B2CF9AE}" pid="26" name="eqnDisplayTemplate">
    <vt:lpwstr>e</vt:lpwstr>
  </property>
  <property fmtid="{D5CDD505-2E9C-101B-9397-08002B2CF9AE}" pid="27" name="eqnIndexTemplate">
    <vt:lpwstr>(i)</vt:lpwstr>
  </property>
  <property fmtid="{D5CDD505-2E9C-101B-9397-08002B2CF9AE}" pid="28" name="eqnInlineTableTemplate">
    <vt:lpwstr>e</vt:lpwstr>
  </property>
  <property fmtid="{D5CDD505-2E9C-101B-9397-08002B2CF9AE}" pid="29" name="eqnInlineTemplate">
    <vt:lpwstr>eequationNumberTeX{i}</vt:lpwstr>
  </property>
  <property fmtid="{D5CDD505-2E9C-101B-9397-08002B2CF9AE}" pid="30" name="eqnPrefix">
    <vt:lpwstr/>
  </property>
  <property fmtid="{D5CDD505-2E9C-101B-9397-08002B2CF9AE}" pid="31" name="eqnPrefixTemplate">
    <vt:lpwstr>p i</vt:lpwstr>
  </property>
  <property fmtid="{D5CDD505-2E9C-101B-9397-08002B2CF9AE}" pid="32" name="equationNumberTeX">
    <vt:lpwstr>\qquad</vt:lpwstr>
  </property>
  <property fmtid="{D5CDD505-2E9C-101B-9397-08002B2CF9AE}" pid="33" name="figLabels">
    <vt:lpwstr>arabic</vt:lpwstr>
  </property>
  <property fmtid="{D5CDD505-2E9C-101B-9397-08002B2CF9AE}" pid="34" name="figPrefix">
    <vt:lpwstr/>
  </property>
  <property fmtid="{D5CDD505-2E9C-101B-9397-08002B2CF9AE}" pid="35" name="figPrefixTemplate">
    <vt:lpwstr>p i</vt:lpwstr>
  </property>
  <property fmtid="{D5CDD505-2E9C-101B-9397-08002B2CF9AE}" pid="36" name="figureTemplate">
    <vt:lpwstr>figureTitle ititleDelim t</vt:lpwstr>
  </property>
  <property fmtid="{D5CDD505-2E9C-101B-9397-08002B2CF9AE}" pid="37" name="figureTitle">
    <vt:lpwstr>Рис.</vt:lpwstr>
  </property>
  <property fmtid="{D5CDD505-2E9C-101B-9397-08002B2CF9AE}" pid="38" name="fontsize">
    <vt:lpwstr>12pt</vt:lpwstr>
  </property>
  <property fmtid="{D5CDD505-2E9C-101B-9397-08002B2CF9AE}" pid="39" name="header-includes">
    <vt:lpwstr/>
  </property>
  <property fmtid="{D5CDD505-2E9C-101B-9397-08002B2CF9AE}" pid="40" name="indent">
    <vt:lpwstr>True</vt:lpwstr>
  </property>
  <property fmtid="{D5CDD505-2E9C-101B-9397-08002B2CF9AE}" pid="41" name="institute">
    <vt:lpwstr>Российский университет дружбы народов</vt:lpwstr>
  </property>
  <property fmtid="{D5CDD505-2E9C-101B-9397-08002B2CF9AE}" pid="42" name="lastDelim">
    <vt:lpwstr>, </vt:lpwstr>
  </property>
  <property fmtid="{D5CDD505-2E9C-101B-9397-08002B2CF9AE}" pid="43" name="linestretch">
    <vt:lpwstr>1.5</vt:lpwstr>
  </property>
  <property fmtid="{D5CDD505-2E9C-101B-9397-08002B2CF9AE}" pid="44" name="linkReferences">
    <vt:lpwstr>False</vt:lpwstr>
  </property>
  <property fmtid="{D5CDD505-2E9C-101B-9397-08002B2CF9AE}" pid="45" name="listItemTitleDelim">
    <vt:lpwstr>.</vt:lpwstr>
  </property>
  <property fmtid="{D5CDD505-2E9C-101B-9397-08002B2CF9AE}" pid="46" name="listingTemplate">
    <vt:lpwstr>listingTitle ititleDelim t</vt:lpwstr>
  </property>
  <property fmtid="{D5CDD505-2E9C-101B-9397-08002B2CF9AE}" pid="47" name="listingTitle">
    <vt:lpwstr>Листинг</vt:lpwstr>
  </property>
  <property fmtid="{D5CDD505-2E9C-101B-9397-08002B2CF9AE}" pid="48" name="listings">
    <vt:lpwstr>False</vt:lpwstr>
  </property>
  <property fmtid="{D5CDD505-2E9C-101B-9397-08002B2CF9AE}" pid="49" name="lof">
    <vt:lpwstr>True</vt:lpwstr>
  </property>
  <property fmtid="{D5CDD505-2E9C-101B-9397-08002B2CF9AE}" pid="50" name="lofItemTemplate">
    <vt:lpwstr>lofItemTitleilistItemTitleDelimt </vt:lpwstr>
  </property>
  <property fmtid="{D5CDD505-2E9C-101B-9397-08002B2CF9AE}" pid="51" name="lofItemTitle">
    <vt:lpwstr/>
  </property>
  <property fmtid="{D5CDD505-2E9C-101B-9397-08002B2CF9AE}" pid="52" name="lofTitle">
    <vt:lpwstr>Список иллюстраций</vt:lpwstr>
  </property>
  <property fmtid="{D5CDD505-2E9C-101B-9397-08002B2CF9AE}" pid="53" name="lolItemTemplate">
    <vt:lpwstr>lolItemTitleilistItemTitleDelimt </vt:lpwstr>
  </property>
  <property fmtid="{D5CDD505-2E9C-101B-9397-08002B2CF9AE}" pid="54" name="lolItemTitle">
    <vt:lpwstr/>
  </property>
  <property fmtid="{D5CDD505-2E9C-101B-9397-08002B2CF9AE}" pid="55" name="lolTitle">
    <vt:lpwstr>Листинги</vt:lpwstr>
  </property>
  <property fmtid="{D5CDD505-2E9C-101B-9397-08002B2CF9AE}" pid="56" name="lot">
    <vt:lpwstr>True</vt:lpwstr>
  </property>
  <property fmtid="{D5CDD505-2E9C-101B-9397-08002B2CF9AE}" pid="57" name="lotItemTemplate">
    <vt:lpwstr>lotItemTitleilistItemTitleDelimt </vt:lpwstr>
  </property>
  <property fmtid="{D5CDD505-2E9C-101B-9397-08002B2CF9AE}" pid="58" name="lotItemTitle">
    <vt:lpwstr/>
  </property>
  <property fmtid="{D5CDD505-2E9C-101B-9397-08002B2CF9AE}" pid="59" name="lotTitle">
    <vt:lpwstr>Список таблиц</vt:lpwstr>
  </property>
  <property fmtid="{D5CDD505-2E9C-101B-9397-08002B2CF9AE}" pid="60" name="lstLabels">
    <vt:lpwstr>arabic</vt:lpwstr>
  </property>
  <property fmtid="{D5CDD505-2E9C-101B-9397-08002B2CF9AE}" pid="61" name="lstPrefix">
    <vt:lpwstr/>
  </property>
  <property fmtid="{D5CDD505-2E9C-101B-9397-08002B2CF9AE}" pid="62" name="lstPrefixTemplate">
    <vt:lpwstr>p i</vt:lpwstr>
  </property>
  <property fmtid="{D5CDD505-2E9C-101B-9397-08002B2CF9AE}" pid="63" name="mainfont">
    <vt:lpwstr>IBM Plex Serif</vt:lpwstr>
  </property>
  <property fmtid="{D5CDD505-2E9C-101B-9397-08002B2CF9AE}" pid="64" name="mainfontoptions">
    <vt:lpwstr>Ligatures=Common,Ligatures=TeX,Scale=0.94</vt:lpwstr>
  </property>
  <property fmtid="{D5CDD505-2E9C-101B-9397-08002B2CF9AE}" pid="65" name="mathfont">
    <vt:lpwstr>STIX Two Math</vt:lpwstr>
  </property>
  <property fmtid="{D5CDD505-2E9C-101B-9397-08002B2CF9AE}" pid="66" name="monofont">
    <vt:lpwstr>IBM Plex Mono</vt:lpwstr>
  </property>
  <property fmtid="{D5CDD505-2E9C-101B-9397-08002B2CF9AE}" pid="67" name="monofontoptions">
    <vt:lpwstr>Scale=MatchLowercase,Scale=0.94,FakeStretch=0.9</vt:lpwstr>
  </property>
  <property fmtid="{D5CDD505-2E9C-101B-9397-08002B2CF9AE}" pid="68" name="nameInLink">
    <vt:lpwstr>False</vt:lpwstr>
  </property>
  <property fmtid="{D5CDD505-2E9C-101B-9397-08002B2CF9AE}" pid="69" name="numberSections">
    <vt:lpwstr>False</vt:lpwstr>
  </property>
  <property fmtid="{D5CDD505-2E9C-101B-9397-08002B2CF9AE}" pid="70" name="pairDelim">
    <vt:lpwstr>, </vt:lpwstr>
  </property>
  <property fmtid="{D5CDD505-2E9C-101B-9397-08002B2CF9AE}" pid="71" name="papersize">
    <vt:lpwstr>a4</vt:lpwstr>
  </property>
  <property fmtid="{D5CDD505-2E9C-101B-9397-08002B2CF9AE}" pid="72" name="polyglossia-lang">
    <vt:lpwstr/>
  </property>
  <property fmtid="{D5CDD505-2E9C-101B-9397-08002B2CF9AE}" pid="73" name="polyglossia-otherlangs">
    <vt:lpwstr/>
  </property>
  <property fmtid="{D5CDD505-2E9C-101B-9397-08002B2CF9AE}" pid="74" name="rangeDelim">
    <vt:lpwstr>-</vt:lpwstr>
  </property>
  <property fmtid="{D5CDD505-2E9C-101B-9397-08002B2CF9AE}" pid="75" name="refDelim">
    <vt:lpwstr>, </vt:lpwstr>
  </property>
  <property fmtid="{D5CDD505-2E9C-101B-9397-08002B2CF9AE}" pid="76" name="refIndexTemplate">
    <vt:lpwstr>isuf</vt:lpwstr>
  </property>
  <property fmtid="{D5CDD505-2E9C-101B-9397-08002B2CF9AE}" pid="77" name="romanfont">
    <vt:lpwstr>IBM Plex Serif</vt:lpwstr>
  </property>
  <property fmtid="{D5CDD505-2E9C-101B-9397-08002B2CF9AE}" pid="78" name="romanfontoptions">
    <vt:lpwstr>Ligatures=Common,Ligatures=TeX,Scale=0.94</vt:lpwstr>
  </property>
  <property fmtid="{D5CDD505-2E9C-101B-9397-08002B2CF9AE}" pid="79" name="sansfont">
    <vt:lpwstr>IBM Plex Sans</vt:lpwstr>
  </property>
  <property fmtid="{D5CDD505-2E9C-101B-9397-08002B2CF9AE}" pid="80" name="sansfontoptions">
    <vt:lpwstr>Ligatures=Common,Ligatures=TeX,Scale=MatchLowercase,Scale=0.94</vt:lpwstr>
  </property>
  <property fmtid="{D5CDD505-2E9C-101B-9397-08002B2CF9AE}" pid="81" name="secHeaderDelim">
    <vt:lpwstr> </vt:lpwstr>
  </property>
  <property fmtid="{D5CDD505-2E9C-101B-9397-08002B2CF9AE}" pid="82" name="secHeaderTemplate">
    <vt:lpwstr>isecHeaderDelim[n]t</vt:lpwstr>
  </property>
  <property fmtid="{D5CDD505-2E9C-101B-9397-08002B2CF9AE}" pid="83" name="secLabels">
    <vt:lpwstr>arabic</vt:lpwstr>
  </property>
  <property fmtid="{D5CDD505-2E9C-101B-9397-08002B2CF9AE}" pid="84" name="secPrefix">
    <vt:lpwstr/>
  </property>
  <property fmtid="{D5CDD505-2E9C-101B-9397-08002B2CF9AE}" pid="85" name="secPrefixTemplate">
    <vt:lpwstr>p i</vt:lpwstr>
  </property>
  <property fmtid="{D5CDD505-2E9C-101B-9397-08002B2CF9AE}" pid="86" name="sectionsDepth">
    <vt:lpwstr>0</vt:lpwstr>
  </property>
  <property fmtid="{D5CDD505-2E9C-101B-9397-08002B2CF9AE}" pid="87" name="subfigGrid">
    <vt:lpwstr>False</vt:lpwstr>
  </property>
  <property fmtid="{D5CDD505-2E9C-101B-9397-08002B2CF9AE}" pid="88" name="subfigLabels">
    <vt:lpwstr>alpha a</vt:lpwstr>
  </property>
  <property fmtid="{D5CDD505-2E9C-101B-9397-08002B2CF9AE}" pid="89" name="subfigureChildTemplate">
    <vt:lpwstr>i</vt:lpwstr>
  </property>
  <property fmtid="{D5CDD505-2E9C-101B-9397-08002B2CF9AE}" pid="90" name="subfigureRefIndexTemplate">
    <vt:lpwstr>isuf (s)</vt:lpwstr>
  </property>
  <property fmtid="{D5CDD505-2E9C-101B-9397-08002B2CF9AE}" pid="91" name="subfigureTemplate">
    <vt:lpwstr>figureTitle ititleDelim t. ccs</vt:lpwstr>
  </property>
  <property fmtid="{D5CDD505-2E9C-101B-9397-08002B2CF9AE}" pid="92" name="subtitle">
    <vt:lpwstr>Настройка DNS-сервера</vt:lpwstr>
  </property>
  <property fmtid="{D5CDD505-2E9C-101B-9397-08002B2CF9AE}" pid="93" name="tableEqns">
    <vt:lpwstr>False</vt:lpwstr>
  </property>
  <property fmtid="{D5CDD505-2E9C-101B-9397-08002B2CF9AE}" pid="94" name="tableTemplate">
    <vt:lpwstr>tableTitle ititleDelim t</vt:lpwstr>
  </property>
  <property fmtid="{D5CDD505-2E9C-101B-9397-08002B2CF9AE}" pid="95" name="tableTitle">
    <vt:lpwstr>Таблица</vt:lpwstr>
  </property>
  <property fmtid="{D5CDD505-2E9C-101B-9397-08002B2CF9AE}" pid="96" name="tblLabels">
    <vt:lpwstr>arabic</vt:lpwstr>
  </property>
  <property fmtid="{D5CDD505-2E9C-101B-9397-08002B2CF9AE}" pid="97" name="tblPrefix">
    <vt:lpwstr/>
  </property>
  <property fmtid="{D5CDD505-2E9C-101B-9397-08002B2CF9AE}" pid="98" name="tblPrefixTemplate">
    <vt:lpwstr>p i</vt:lpwstr>
  </property>
  <property fmtid="{D5CDD505-2E9C-101B-9397-08002B2CF9AE}" pid="99" name="titleDelim">
    <vt:lpwstr>:</vt:lpwstr>
  </property>
  <property fmtid="{D5CDD505-2E9C-101B-9397-08002B2CF9AE}" pid="100" name="toc">
    <vt:lpwstr>True</vt:lpwstr>
  </property>
  <property fmtid="{D5CDD505-2E9C-101B-9397-08002B2CF9AE}" pid="101" name="toc-depth">
    <vt:lpwstr>2</vt:lpwstr>
  </property>
  <property fmtid="{D5CDD505-2E9C-101B-9397-08002B2CF9AE}" pid="102" name="toc-title">
    <vt:lpwstr>Содержание</vt:lpwstr>
  </property>
</Properties>
</file>