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№8 — Настройка SMTP-сервера на базе Postfix</w:t>
      </w:r>
    </w:p>
    <w:p>
      <w:pPr>
        <w:pStyle w:val="Author"/>
      </w:pPr>
      <w:r>
        <w:t xml:space="preserve">Талебу Тенке Франк Устон</w:t>
      </w:r>
    </w:p>
    <w:bookmarkStart w:id="22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установки и конфигурирования SMTP-сервера</w:t>
      </w:r>
      <w:r>
        <w:br/>
      </w:r>
      <w:r>
        <w:t xml:space="preserve">на базе Postfix в виртуальной среде, а также проверить доставку локальной и доменной почты.</w:t>
      </w:r>
    </w:p>
    <w:bookmarkEnd w:id="20"/>
    <w:bookmarkStart w:id="2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и запустить Postfix на server и client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Выполнить настройку параметров Postfix через postconf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Проверить доставку локальной почты и пересылку между узлами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Настроить доставку на доменные адреса с использованием DNS (A/MX/PTR)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Подготовить provisioning-скрипты для автоматизации развёртывания</w:t>
      </w:r>
    </w:p>
    <w:bookmarkEnd w:id="21"/>
    <w:bookmarkEnd w:id="22"/>
    <w:bookmarkStart w:id="9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7" w:name="установка-postfix-на-сервере"/>
    <w:p>
      <w:pPr>
        <w:pStyle w:val="Heading2"/>
      </w:pPr>
      <w:r>
        <w:t xml:space="preserve">Установка Postfix на сервере</w:t>
      </w:r>
    </w:p>
    <w:bookmarkStart w:id="26" w:name="fig:001"/>
    <w:p>
      <w:pPr>
        <w:pStyle w:val="CaptionedFigure"/>
      </w:pPr>
      <w:r>
        <w:drawing>
          <wp:inline>
            <wp:extent cx="4267200" cy="3484105"/>
            <wp:effectExtent b="0" l="0" r="0" t="0"/>
            <wp:docPr descr="Запуск службы Postfix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Postfix</w:t>
      </w:r>
    </w:p>
    <w:bookmarkEnd w:id="26"/>
    <w:bookmarkEnd w:id="27"/>
    <w:bookmarkStart w:id="32" w:name="настройка-параметров-myorigin-e-mydomain"/>
    <w:p>
      <w:pPr>
        <w:pStyle w:val="Heading2"/>
      </w:pPr>
      <w:r>
        <w:t xml:space="preserve">Настройка параметров myorigin e mydomain</w:t>
      </w:r>
    </w:p>
    <w:bookmarkStart w:id="31" w:name="fig:002"/>
    <w:p>
      <w:pPr>
        <w:pStyle w:val="CaptionedFigure"/>
      </w:pPr>
      <w:r>
        <w:drawing>
          <wp:inline>
            <wp:extent cx="4267200" cy="2146935"/>
            <wp:effectExtent b="0" l="0" r="0" t="0"/>
            <wp:docPr descr="Изменение параметра myorigin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параметра myorigin</w:t>
      </w:r>
    </w:p>
    <w:bookmarkEnd w:id="31"/>
    <w:bookmarkEnd w:id="32"/>
    <w:bookmarkStart w:id="37" w:name="отключение-ipv6-в-postfix"/>
    <w:p>
      <w:pPr>
        <w:pStyle w:val="Heading2"/>
      </w:pPr>
      <w:r>
        <w:t xml:space="preserve">Отключение IPv6 в Postfix</w:t>
      </w:r>
    </w:p>
    <w:bookmarkStart w:id="36" w:name="fig:003"/>
    <w:p>
      <w:pPr>
        <w:pStyle w:val="CaptionedFigure"/>
      </w:pPr>
      <w:r>
        <w:drawing>
          <wp:inline>
            <wp:extent cx="4267200" cy="1237354"/>
            <wp:effectExtent b="0" l="0" r="0" t="0"/>
            <wp:docPr descr="Отключение IPv6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IPv6</w:t>
      </w:r>
    </w:p>
    <w:bookmarkEnd w:id="36"/>
    <w:bookmarkEnd w:id="37"/>
    <w:bookmarkStart w:id="42" w:name="проверка-локальной-доставки-письма"/>
    <w:p>
      <w:pPr>
        <w:pStyle w:val="Heading2"/>
      </w:pPr>
      <w:r>
        <w:t xml:space="preserve">Проверка локальной доставки письма</w:t>
      </w:r>
    </w:p>
    <w:bookmarkStart w:id="41" w:name="fig:004"/>
    <w:p>
      <w:pPr>
        <w:pStyle w:val="CaptionedFigure"/>
      </w:pPr>
      <w:r>
        <w:drawing>
          <wp:inline>
            <wp:extent cx="4267200" cy="1205602"/>
            <wp:effectExtent b="0" l="0" r="0" t="0"/>
            <wp:docPr descr="Просмотр содержимого почтового ящика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почтового ящика</w:t>
      </w:r>
    </w:p>
    <w:bookmarkEnd w:id="41"/>
    <w:bookmarkEnd w:id="42"/>
    <w:bookmarkStart w:id="47" w:name="анализ-журнала-maillog"/>
    <w:p>
      <w:pPr>
        <w:pStyle w:val="Heading2"/>
      </w:pPr>
      <w:r>
        <w:t xml:space="preserve">Анализ журнала maillog</w:t>
      </w:r>
    </w:p>
    <w:bookmarkStart w:id="46" w:name="fig:005"/>
    <w:p>
      <w:pPr>
        <w:pStyle w:val="CaptionedFigure"/>
      </w:pPr>
      <w:r>
        <w:drawing>
          <wp:inline>
            <wp:extent cx="4267200" cy="2378109"/>
            <wp:effectExtent b="0" l="0" r="0" t="0"/>
            <wp:docPr descr="Анализ журнала maillog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7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журнала maillog</w:t>
      </w:r>
    </w:p>
    <w:bookmarkEnd w:id="46"/>
    <w:bookmarkEnd w:id="47"/>
    <w:bookmarkStart w:id="52" w:name="настройка-postfix-на-клиенте"/>
    <w:p>
      <w:pPr>
        <w:pStyle w:val="Heading2"/>
      </w:pPr>
      <w:r>
        <w:t xml:space="preserve">Настройка Postfix на клиенте</w:t>
      </w:r>
    </w:p>
    <w:bookmarkStart w:id="51" w:name="fig:006"/>
    <w:p>
      <w:pPr>
        <w:pStyle w:val="CaptionedFigure"/>
      </w:pPr>
      <w:r>
        <w:drawing>
          <wp:inline>
            <wp:extent cx="4267200" cy="971888"/>
            <wp:effectExtent b="0" l="0" r="0" t="0"/>
            <wp:docPr descr="Настройка Postfix на клиенте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7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на клиенте</w:t>
      </w:r>
    </w:p>
    <w:bookmarkEnd w:id="51"/>
    <w:bookmarkEnd w:id="52"/>
    <w:bookmarkStart w:id="57" w:name="разрешение-пересылки-между-узлами"/>
    <w:p>
      <w:pPr>
        <w:pStyle w:val="Heading2"/>
      </w:pPr>
      <w:r>
        <w:t xml:space="preserve">Разрешение пересылки между узлами</w:t>
      </w:r>
    </w:p>
    <w:bookmarkStart w:id="56" w:name="fig:007"/>
    <w:p>
      <w:pPr>
        <w:pStyle w:val="CaptionedFigure"/>
      </w:pPr>
      <w:r>
        <w:drawing>
          <wp:inline>
            <wp:extent cx="4267200" cy="1174641"/>
            <wp:effectExtent b="0" l="0" r="0" t="0"/>
            <wp:docPr descr="Настройка Postfix на сервере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7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на сервере</w:t>
      </w:r>
    </w:p>
    <w:bookmarkEnd w:id="56"/>
    <w:bookmarkEnd w:id="57"/>
    <w:bookmarkStart w:id="62" w:name="подтверждение-доставки-по-логам"/>
    <w:p>
      <w:pPr>
        <w:pStyle w:val="Heading2"/>
      </w:pPr>
      <w:r>
        <w:t xml:space="preserve">Подтверждение доставки по логам</w:t>
      </w:r>
    </w:p>
    <w:bookmarkStart w:id="61" w:name="fig:008"/>
    <w:p>
      <w:pPr>
        <w:pStyle w:val="CaptionedFigure"/>
      </w:pPr>
      <w:r>
        <w:drawing>
          <wp:inline>
            <wp:extent cx="4267200" cy="2611879"/>
            <wp:effectExtent b="0" l="0" r="0" t="0"/>
            <wp:docPr descr="Анализ журнала maillog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журнала maillog</w:t>
      </w:r>
    </w:p>
    <w:bookmarkEnd w:id="61"/>
    <w:bookmarkEnd w:id="62"/>
    <w:bookmarkStart w:id="67" w:name="ошибка-при-отправке-на-доменный-адрес"/>
    <w:p>
      <w:pPr>
        <w:pStyle w:val="Heading2"/>
      </w:pPr>
      <w:r>
        <w:t xml:space="preserve">Ошибка при отправке на доменный адрес</w:t>
      </w:r>
    </w:p>
    <w:bookmarkStart w:id="66" w:name="fig:009"/>
    <w:p>
      <w:pPr>
        <w:pStyle w:val="CaptionedFigure"/>
      </w:pPr>
      <w:r>
        <w:drawing>
          <wp:inline>
            <wp:extent cx="4267200" cy="2637182"/>
            <wp:effectExtent b="0" l="0" r="0" t="0"/>
            <wp:docPr descr="Ошибка доставки доменной почты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3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доставки доменной почты</w:t>
      </w:r>
    </w:p>
    <w:bookmarkEnd w:id="66"/>
    <w:bookmarkEnd w:id="67"/>
    <w:bookmarkStart w:id="72" w:name="проверка-очереди-сообщений-на-клиенте"/>
    <w:p>
      <w:pPr>
        <w:pStyle w:val="Heading2"/>
      </w:pPr>
      <w:r>
        <w:t xml:space="preserve">Проверка очереди сообщений на клиенте</w:t>
      </w:r>
    </w:p>
    <w:bookmarkStart w:id="71" w:name="fig:010"/>
    <w:p>
      <w:pPr>
        <w:pStyle w:val="CaptionedFigure"/>
      </w:pPr>
      <w:r>
        <w:drawing>
          <wp:inline>
            <wp:extent cx="4267200" cy="2707647"/>
            <wp:effectExtent b="0" l="0" r="0" t="0"/>
            <wp:docPr descr="Очередь сообщений Postfix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Очередь сообщений Postfix</w:t>
      </w:r>
    </w:p>
    <w:bookmarkEnd w:id="71"/>
    <w:bookmarkEnd w:id="72"/>
    <w:bookmarkStart w:id="77" w:name="настройка-прямой-dns-зоны"/>
    <w:p>
      <w:pPr>
        <w:pStyle w:val="Heading2"/>
      </w:pPr>
      <w:r>
        <w:t xml:space="preserve">Настройка прямой DNS-зоны</w:t>
      </w:r>
    </w:p>
    <w:bookmarkStart w:id="76" w:name="fig:011"/>
    <w:p>
      <w:pPr>
        <w:pStyle w:val="CaptionedFigure"/>
      </w:pPr>
      <w:r>
        <w:drawing>
          <wp:inline>
            <wp:extent cx="4267200" cy="673417"/>
            <wp:effectExtent b="0" l="0" r="0" t="0"/>
            <wp:docPr descr="Файл прямой DNS-зоны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7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прямой DNS-зоны</w:t>
      </w:r>
    </w:p>
    <w:bookmarkEnd w:id="76"/>
    <w:bookmarkEnd w:id="77"/>
    <w:bookmarkStart w:id="82" w:name="настройка-обратной-dns-зоны"/>
    <w:p>
      <w:pPr>
        <w:pStyle w:val="Heading2"/>
      </w:pPr>
      <w:r>
        <w:t xml:space="preserve">Настройка обратной DNS-зоны</w:t>
      </w:r>
    </w:p>
    <w:bookmarkStart w:id="81" w:name="fig:012"/>
    <w:p>
      <w:pPr>
        <w:pStyle w:val="CaptionedFigure"/>
      </w:pPr>
      <w:r>
        <w:drawing>
          <wp:inline>
            <wp:extent cx="4267200" cy="931762"/>
            <wp:effectExtent b="0" l="0" r="0" t="0"/>
            <wp:docPr descr="Файл обратной DNS-зоны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обратной DNS-зоны</w:t>
      </w:r>
    </w:p>
    <w:bookmarkEnd w:id="81"/>
    <w:bookmarkEnd w:id="82"/>
    <w:bookmarkStart w:id="87" w:name="добавление-домена-в-mydestination"/>
    <w:p>
      <w:pPr>
        <w:pStyle w:val="Heading2"/>
      </w:pPr>
      <w:r>
        <w:t xml:space="preserve">Добавление домена в mydestination</w:t>
      </w:r>
    </w:p>
    <w:bookmarkStart w:id="86" w:name="fig:013"/>
    <w:p>
      <w:pPr>
        <w:pStyle w:val="CaptionedFigure"/>
      </w:pPr>
      <w:r>
        <w:drawing>
          <wp:inline>
            <wp:extent cx="4267200" cy="3336052"/>
            <wp:effectExtent b="0" l="0" r="0" t="0"/>
            <wp:docPr descr="Настройка параметра mydestination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3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параметра mydestination</w:t>
      </w:r>
    </w:p>
    <w:bookmarkEnd w:id="86"/>
    <w:bookmarkEnd w:id="87"/>
    <w:bookmarkStart w:id="92" w:name="успешная-доставка-доменной-почты"/>
    <w:p>
      <w:pPr>
        <w:pStyle w:val="Heading2"/>
      </w:pPr>
      <w:r>
        <w:t xml:space="preserve">Успешная доставка доменной почты</w:t>
      </w:r>
    </w:p>
    <w:bookmarkStart w:id="91" w:name="fig:014"/>
    <w:p>
      <w:pPr>
        <w:pStyle w:val="CaptionedFigure"/>
      </w:pPr>
      <w:r>
        <w:drawing>
          <wp:inline>
            <wp:extent cx="4267200" cy="2916480"/>
            <wp:effectExtent b="0" l="0" r="0" t="0"/>
            <wp:docPr descr="Успешная доставка доменной почты" title="" id="89" name="Picture"/>
            <a:graphic>
              <a:graphicData uri="http://schemas.openxmlformats.org/drawingml/2006/picture">
                <pic:pic>
                  <pic:nvPicPr>
                    <pic:cNvPr descr="image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доставка доменной почты</w:t>
      </w:r>
    </w:p>
    <w:bookmarkEnd w:id="91"/>
    <w:bookmarkEnd w:id="92"/>
    <w:bookmarkStart w:id="97" w:name="подтверждение-письма-в-почтовом-ящике"/>
    <w:p>
      <w:pPr>
        <w:pStyle w:val="Heading2"/>
      </w:pPr>
      <w:r>
        <w:t xml:space="preserve">Подтверждение письма в почтовом ящике</w:t>
      </w:r>
    </w:p>
    <w:bookmarkStart w:id="96" w:name="fig:015"/>
    <w:p>
      <w:pPr>
        <w:pStyle w:val="CaptionedFigure"/>
      </w:pPr>
      <w:r>
        <w:drawing>
          <wp:inline>
            <wp:extent cx="4267200" cy="1012784"/>
            <wp:effectExtent b="0" l="0" r="0" t="0"/>
            <wp:docPr descr="Полученное доменное письмо" title="" id="94" name="Picture"/>
            <a:graphic>
              <a:graphicData uri="http://schemas.openxmlformats.org/drawingml/2006/picture">
                <pic:pic>
                  <pic:nvPicPr>
                    <pic:cNvPr descr="image/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1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Полученное доменное письмо</w:t>
      </w:r>
    </w:p>
    <w:bookmarkEnd w:id="96"/>
    <w:bookmarkEnd w:id="97"/>
    <w:bookmarkEnd w:id="98"/>
    <w:bookmarkStart w:id="100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99" w:name="вывод"/>
    <w:p>
      <w:pPr>
        <w:pStyle w:val="Heading2"/>
      </w:pPr>
      <w:r>
        <w:t xml:space="preserve">Вывод</w:t>
      </w:r>
    </w:p>
    <w:p>
      <w:pPr>
        <w:pStyle w:val="Compact"/>
        <w:numPr>
          <w:ilvl w:val="0"/>
          <w:numId w:val="1002"/>
        </w:numPr>
      </w:pPr>
      <w:r>
        <w:t xml:space="preserve">Установлен и настроен Postfix на виртуальных машинах server и client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Выполнена настройка параметров Postfix через postconf и проверка конфигурации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Подтверждена доставка локальной почты и пересылка между узлами сети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Реализована доставка на доменные адреса через настройку DNS-зон и mydestination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Подготовлены provisioning-скрипты mail.sh для автоматизации развёртывания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2026-03-23T07:10:01Z</dcterms:created>
  <dcterms:modified xsi:type="dcterms:W3CDTF">2026-03-23T07:10:01Z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№8 — Настройка SMTP-сервера на базе Postfix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