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 9 — Настройка POP3/IMAP сервера (Postfix + Dovecot)</w:t>
      </w:r>
    </w:p>
    <w:p>
      <w:pPr>
        <w:pStyle w:val="Author"/>
      </w:pPr>
      <w:r>
        <w:t xml:space="preserve">Талебу Тенке Франк Устон</w:t>
      </w:r>
    </w:p>
    <w:bookmarkStart w:id="21" w:name="цели-и-задачи-работы"/>
    <w:p>
      <w:pPr>
        <w:pStyle w:val="Heading1"/>
      </w:pPr>
      <w:r>
        <w:t xml:space="preserve">Цели и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Приобрести практические навыки установки и простейшего конфигурирования POP3/IMAP-сервера.</w:t>
      </w:r>
      <w:r>
        <w:br/>
      </w:r>
      <w:r>
        <w:t xml:space="preserve">Реализовать доступ к почте по IMAP/POP3 и проверить работу сервиса с клиентской стороны.</w:t>
      </w:r>
    </w:p>
    <w:bookmarkEnd w:id="20"/>
    <w:bookmarkEnd w:id="21"/>
    <w:bookmarkStart w:id="8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6" w:name="разрешённые-протоколы-imappop3"/>
    <w:p>
      <w:pPr>
        <w:pStyle w:val="Heading2"/>
      </w:pPr>
      <w:r>
        <w:t xml:space="preserve">Разрешённые протоколы IMAP/POP3</w:t>
      </w:r>
    </w:p>
    <w:bookmarkStart w:id="25" w:name="fig:001"/>
    <w:p>
      <w:pPr>
        <w:pStyle w:val="CaptionedFigure"/>
      </w:pPr>
      <w:r>
        <w:drawing>
          <wp:inline>
            <wp:extent cx="4267200" cy="2966467"/>
            <wp:effectExtent b="0" l="0" r="0" t="0"/>
            <wp:docPr descr="Настройка списка протоколов в dovecot.conf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66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списка протоколов в dovecot.conf</w:t>
      </w:r>
    </w:p>
    <w:bookmarkEnd w:id="25"/>
    <w:bookmarkEnd w:id="26"/>
    <w:bookmarkStart w:id="31" w:name="проверка-механизма-аутентификации"/>
    <w:p>
      <w:pPr>
        <w:pStyle w:val="Heading2"/>
      </w:pPr>
      <w:r>
        <w:t xml:space="preserve">Проверка механизма аутентификации</w:t>
      </w:r>
    </w:p>
    <w:bookmarkStart w:id="30" w:name="fig:002"/>
    <w:p>
      <w:pPr>
        <w:pStyle w:val="CaptionedFigure"/>
      </w:pPr>
      <w:r>
        <w:drawing>
          <wp:inline>
            <wp:extent cx="4267200" cy="2718564"/>
            <wp:effectExtent b="0" l="0" r="0" t="0"/>
            <wp:docPr descr="Проверка механизма аутентификации в 10-auth.conf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18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механизма аутентификации в 10-auth.conf</w:t>
      </w:r>
    </w:p>
    <w:bookmarkEnd w:id="30"/>
    <w:bookmarkEnd w:id="31"/>
    <w:bookmarkStart w:id="36" w:name="X0ae17ca4329221a3336db867898fef741dce812"/>
    <w:p>
      <w:pPr>
        <w:pStyle w:val="Heading2"/>
      </w:pPr>
      <w:r>
        <w:t xml:space="preserve">Источники пользователей и паролей (PAM + passwd)</w:t>
      </w:r>
    </w:p>
    <w:bookmarkStart w:id="35" w:name="fig:003"/>
    <w:p>
      <w:pPr>
        <w:pStyle w:val="CaptionedFigure"/>
      </w:pPr>
      <w:r>
        <w:drawing>
          <wp:inline>
            <wp:extent cx="4267200" cy="1646018"/>
            <wp:effectExtent b="0" l="0" r="0" t="0"/>
            <wp:docPr descr="Настройка источников аутентификации в auth-system.conf.ext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46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источников аутентификации в auth-system.conf.ext</w:t>
      </w:r>
    </w:p>
    <w:bookmarkEnd w:id="35"/>
    <w:bookmarkEnd w:id="36"/>
    <w:bookmarkStart w:id="41" w:name="расположение-почтовых-ящиков-maildir"/>
    <w:p>
      <w:pPr>
        <w:pStyle w:val="Heading2"/>
      </w:pPr>
      <w:r>
        <w:t xml:space="preserve">Расположение почтовых ящиков (Maildir)</w:t>
      </w:r>
    </w:p>
    <w:bookmarkStart w:id="40" w:name="fig:004"/>
    <w:p>
      <w:pPr>
        <w:pStyle w:val="CaptionedFigure"/>
      </w:pPr>
      <w:r>
        <w:drawing>
          <wp:inline>
            <wp:extent cx="4267200" cy="3045073"/>
            <wp:effectExtent b="0" l="0" r="0" t="0"/>
            <wp:docPr descr="Настройка расположения почтовых ящиков в 10-mail.conf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4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расположения почтовых ящиков в 10-mail.conf</w:t>
      </w:r>
    </w:p>
    <w:bookmarkEnd w:id="40"/>
    <w:bookmarkEnd w:id="41"/>
    <w:bookmarkStart w:id="46" w:name="межсетевой-экран-и-запуск-служб"/>
    <w:p>
      <w:pPr>
        <w:pStyle w:val="Heading2"/>
      </w:pPr>
      <w:r>
        <w:t xml:space="preserve">Межсетевой экран и запуск служб</w:t>
      </w:r>
    </w:p>
    <w:bookmarkStart w:id="45" w:name="fig:005"/>
    <w:p>
      <w:pPr>
        <w:pStyle w:val="CaptionedFigure"/>
      </w:pPr>
      <w:r>
        <w:drawing>
          <wp:inline>
            <wp:extent cx="4267200" cy="4092314"/>
            <wp:effectExtent b="0" l="0" r="0" t="0"/>
            <wp:docPr descr="Настройка межсетевого экрана для почтовых сервисов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92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 для почтовых сервисов</w:t>
      </w:r>
    </w:p>
    <w:bookmarkEnd w:id="45"/>
    <w:bookmarkEnd w:id="46"/>
    <w:bookmarkStart w:id="51" w:name="мониторинг-работы-почтовых-служб"/>
    <w:p>
      <w:pPr>
        <w:pStyle w:val="Heading2"/>
      </w:pPr>
      <w:r>
        <w:t xml:space="preserve">Мониторинг работы почтовых служб</w:t>
      </w:r>
    </w:p>
    <w:bookmarkStart w:id="50" w:name="fig:006"/>
    <w:p>
      <w:pPr>
        <w:pStyle w:val="CaptionedFigure"/>
      </w:pPr>
      <w:r>
        <w:drawing>
          <wp:inline>
            <wp:extent cx="4267200" cy="303224"/>
            <wp:effectExtent b="0" l="0" r="0" t="0"/>
            <wp:docPr descr="Записи в журнале Postfix и Dovecot" title="" id="48" name="Picture"/>
            <a:graphic>
              <a:graphicData uri="http://schemas.openxmlformats.org/drawingml/2006/picture">
                <pic:pic>
                  <pic:nvPicPr>
                    <pic:cNvPr descr="image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3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Записи в журнале Postfix и Dovecot</w:t>
      </w:r>
    </w:p>
    <w:bookmarkEnd w:id="50"/>
    <w:bookmarkEnd w:id="51"/>
    <w:bookmarkStart w:id="56" w:name="проверка-почтового-ящика-на-сервере"/>
    <w:p>
      <w:pPr>
        <w:pStyle w:val="Heading2"/>
      </w:pPr>
      <w:r>
        <w:t xml:space="preserve">Проверка почтового ящика на сервере</w:t>
      </w:r>
    </w:p>
    <w:bookmarkStart w:id="55" w:name="fig:007"/>
    <w:p>
      <w:pPr>
        <w:pStyle w:val="CaptionedFigure"/>
      </w:pPr>
      <w:r>
        <w:drawing>
          <wp:inline>
            <wp:extent cx="4267200" cy="3431014"/>
            <wp:effectExtent b="0" l="0" r="0" t="0"/>
            <wp:docPr descr="Просмотр почтового ящика пользователя на сервере" title="" id="53" name="Picture"/>
            <a:graphic>
              <a:graphicData uri="http://schemas.openxmlformats.org/drawingml/2006/picture">
                <pic:pic>
                  <pic:nvPicPr>
                    <pic:cNvPr descr="image/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31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почтового ящика пользователя на сервере</w:t>
      </w:r>
    </w:p>
    <w:bookmarkEnd w:id="55"/>
    <w:bookmarkEnd w:id="56"/>
    <w:bookmarkStart w:id="61" w:name="evolution-идентификация-пользователя"/>
    <w:p>
      <w:pPr>
        <w:pStyle w:val="Heading2"/>
      </w:pPr>
      <w:r>
        <w:t xml:space="preserve">Evolution: идентификация пользователя</w:t>
      </w:r>
    </w:p>
    <w:bookmarkStart w:id="60" w:name="fig:008"/>
    <w:p>
      <w:pPr>
        <w:pStyle w:val="CaptionedFigure"/>
      </w:pPr>
      <w:r>
        <w:drawing>
          <wp:inline>
            <wp:extent cx="4267200" cy="647346"/>
            <wp:effectExtent b="0" l="0" r="0" t="0"/>
            <wp:docPr descr="Настройка учетной записи в Evolution — идентификация" title="" id="58" name="Picture"/>
            <a:graphic>
              <a:graphicData uri="http://schemas.openxmlformats.org/drawingml/2006/picture">
                <pic:pic>
                  <pic:nvPicPr>
                    <pic:cNvPr descr="image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47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учетной записи в Evolution — идентификация</w:t>
      </w:r>
    </w:p>
    <w:bookmarkEnd w:id="60"/>
    <w:bookmarkEnd w:id="61"/>
    <w:bookmarkStart w:id="66" w:name="evolution-входящая-почта-imap"/>
    <w:p>
      <w:pPr>
        <w:pStyle w:val="Heading2"/>
      </w:pPr>
      <w:r>
        <w:t xml:space="preserve">Evolution: входящая почта (IMAP)</w:t>
      </w:r>
    </w:p>
    <w:bookmarkStart w:id="65" w:name="fig:009"/>
    <w:p>
      <w:pPr>
        <w:pStyle w:val="CaptionedFigure"/>
      </w:pPr>
      <w:r>
        <w:drawing>
          <wp:inline>
            <wp:extent cx="4267200" cy="879343"/>
            <wp:effectExtent b="0" l="0" r="0" t="0"/>
            <wp:docPr descr="Настройка входящей почты IMAP в Evolution" title="" id="63" name="Picture"/>
            <a:graphic>
              <a:graphicData uri="http://schemas.openxmlformats.org/drawingml/2006/picture">
                <pic:pic>
                  <pic:nvPicPr>
                    <pic:cNvPr descr="image/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79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входящей почты IMAP в Evolution</w:t>
      </w:r>
    </w:p>
    <w:bookmarkEnd w:id="65"/>
    <w:bookmarkEnd w:id="66"/>
    <w:bookmarkStart w:id="71" w:name="evolution-исходящая-почта-smtp"/>
    <w:p>
      <w:pPr>
        <w:pStyle w:val="Heading2"/>
      </w:pPr>
      <w:r>
        <w:t xml:space="preserve">Evolution: исходящая почта (SMTP)</w:t>
      </w:r>
    </w:p>
    <w:p>
      <w:pPr>
        <w:pStyle w:val="FirstParagraph"/>
      </w:pPr>
      <w:r>
        <w:t xml:space="preserve">Проверены параметры SMTP: сервер mail.user.net, порт 25, без шифрования и без аутентификации.</w:t>
      </w:r>
    </w:p>
    <w:bookmarkStart w:id="70" w:name="fig:010"/>
    <w:p>
      <w:pPr>
        <w:pStyle w:val="CaptionedFigure"/>
      </w:pPr>
      <w:r>
        <w:drawing>
          <wp:inline>
            <wp:extent cx="4267200" cy="4061650"/>
            <wp:effectExtent b="0" l="0" r="0" t="0"/>
            <wp:docPr descr="Настройка исходящей почты SMTP в Evolution" title="" id="68" name="Picture"/>
            <a:graphic>
              <a:graphicData uri="http://schemas.openxmlformats.org/drawingml/2006/picture">
                <pic:pic>
                  <pic:nvPicPr>
                    <pic:cNvPr descr="image/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06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исходящей почты SMTP в Evolution</w:t>
      </w:r>
    </w:p>
    <w:bookmarkEnd w:id="70"/>
    <w:bookmarkEnd w:id="71"/>
    <w:bookmarkStart w:id="76" w:name="отправка-и-получение-тестовых-писем"/>
    <w:p>
      <w:pPr>
        <w:pStyle w:val="Heading2"/>
      </w:pPr>
      <w:r>
        <w:t xml:space="preserve">Отправка и получение тестовых писем</w:t>
      </w:r>
    </w:p>
    <w:bookmarkStart w:id="75" w:name="fig:011"/>
    <w:p>
      <w:pPr>
        <w:pStyle w:val="CaptionedFigure"/>
      </w:pPr>
      <w:r>
        <w:drawing>
          <wp:inline>
            <wp:extent cx="4267200" cy="3507287"/>
            <wp:effectExtent b="0" l="0" r="0" t="0"/>
            <wp:docPr descr="Получение тестового письма в Evolution" title="" id="73" name="Picture"/>
            <a:graphic>
              <a:graphicData uri="http://schemas.openxmlformats.org/drawingml/2006/picture">
                <pic:pic>
                  <pic:nvPicPr>
                    <pic:cNvPr descr="image/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07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тестового письма в Evolution</w:t>
      </w:r>
    </w:p>
    <w:bookmarkEnd w:id="75"/>
    <w:bookmarkEnd w:id="76"/>
    <w:bookmarkStart w:id="81" w:name="проверка-pop3-через-telnet"/>
    <w:p>
      <w:pPr>
        <w:pStyle w:val="Heading2"/>
      </w:pPr>
      <w:r>
        <w:t xml:space="preserve">Проверка POP3 через Telnet</w:t>
      </w:r>
    </w:p>
    <w:bookmarkStart w:id="80" w:name="fig:012"/>
    <w:p>
      <w:pPr>
        <w:pStyle w:val="CaptionedFigure"/>
      </w:pPr>
      <w:r>
        <w:drawing>
          <wp:inline>
            <wp:extent cx="4267200" cy="4814761"/>
            <wp:effectExtent b="0" l="0" r="0" t="0"/>
            <wp:docPr descr="Проверка POP3 через Telnet" title="" id="78" name="Picture"/>
            <a:graphic>
              <a:graphicData uri="http://schemas.openxmlformats.org/drawingml/2006/picture">
                <pic:pic>
                  <pic:nvPicPr>
                    <pic:cNvPr descr="image/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814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POP3 через Telnet</w:t>
      </w:r>
    </w:p>
    <w:bookmarkEnd w:id="80"/>
    <w:bookmarkEnd w:id="81"/>
    <w:bookmarkEnd w:id="82"/>
    <w:bookmarkStart w:id="84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83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лабораторной работы был установлен и настроен почтовый сервер на базе Postfix и Dovecot.</w:t>
      </w:r>
      <w:r>
        <w:br/>
      </w:r>
      <w:r>
        <w:t xml:space="preserve">Выполнена настройка протоколов IMAP и POP3, обеспечено хранение почты в формате Maildir и корректная аутентификация пользователей.</w:t>
      </w:r>
      <w:r>
        <w:br/>
      </w:r>
      <w:r>
        <w:t xml:space="preserve">Проверена работа почтовой системы с использованием Evolution, утилит mail/doveadm и проверки POP3 через Telnet.</w:t>
      </w:r>
      <w:r>
        <w:br/>
      </w:r>
      <w:r>
        <w:t xml:space="preserve">Подтверждена корректная доставка, получение и удаление сообщений, а также готовность конфигурации к автоматическому развёртыванию в Vagrant.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Талебу Тенке Франк Устон</dc:creator>
  <dc:language>ru-RU</dc:language>
  <cp:keywords/>
  <dcterms:created xsi:type="dcterms:W3CDTF">2026-03-23T07:03:00Z</dcterms:created>
  <dcterms:modified xsi:type="dcterms:W3CDTF">2026-03-23T07:03:00Z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Лабораторная работа № 9 — Настройка POP3/IMAP сервера (Postfix + Dovecot)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