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№10 — Расширенные настройки SMTP-сервера</w:t>
      </w:r>
    </w:p>
    <w:p>
      <w:pPr>
        <w:pStyle w:val="Author"/>
      </w:pPr>
      <w:r>
        <w:t xml:space="preserve">Талебу Тенке Франк Устон</w:t>
      </w:r>
    </w:p>
    <w:bookmarkStart w:id="22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практические навыки конфигурирования SMTP-сервера</w:t>
      </w:r>
      <w:r>
        <w:br/>
      </w:r>
      <w:r>
        <w:t xml:space="preserve">в части настройки аутентификации и защищённой передачи данных.</w:t>
      </w:r>
    </w:p>
    <w:bookmarkEnd w:id="20"/>
    <w:bookmarkStart w:id="2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Настроить доставку почты через LMTP (Postfix → Dovecot)</w:t>
      </w:r>
    </w:p>
    <w:p>
      <w:pPr>
        <w:pStyle w:val="Compact"/>
        <w:numPr>
          <w:ilvl w:val="0"/>
          <w:numId w:val="1001"/>
        </w:numPr>
      </w:pPr>
      <w:r>
        <w:t xml:space="preserve">Включить SMTP-аутентификацию (SASL через Dovecot)</w:t>
      </w:r>
    </w:p>
    <w:p>
      <w:pPr>
        <w:pStyle w:val="Compact"/>
        <w:numPr>
          <w:ilvl w:val="0"/>
          <w:numId w:val="1001"/>
        </w:numPr>
      </w:pPr>
      <w:r>
        <w:t xml:space="preserve">Настроить SMTP over TLS (STARTTLS) и порт submission 587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через консольные тесты и почтовый клиент</w:t>
      </w:r>
    </w:p>
    <w:p>
      <w:pPr>
        <w:pStyle w:val="Compact"/>
        <w:numPr>
          <w:ilvl w:val="0"/>
          <w:numId w:val="1001"/>
        </w:numPr>
      </w:pPr>
      <w:r>
        <w:t xml:space="preserve">Зафиксировать изменения в provisioning-окружении Vagrant</w:t>
      </w:r>
    </w:p>
    <w:bookmarkEnd w:id="21"/>
    <w:bookmarkEnd w:id="22"/>
    <w:bookmarkStart w:id="8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добавление-lmtp-в-список-протоколов"/>
    <w:p>
      <w:pPr>
        <w:pStyle w:val="Heading2"/>
      </w:pPr>
      <w:r>
        <w:t xml:space="preserve">Добавление LMTP в список протоколов</w:t>
      </w:r>
    </w:p>
    <w:p>
      <w:pPr>
        <w:pStyle w:val="CaptionedFigure"/>
      </w:pPr>
      <w:r>
        <w:drawing>
          <wp:inline>
            <wp:extent cx="4267200" cy="3556784"/>
            <wp:effectExtent b="0" l="0" r="0" t="0"/>
            <wp:docPr descr="Добавление LMTP в dovecot.conf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6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LMTP в dovecot.conf</w:t>
      </w:r>
    </w:p>
    <w:bookmarkEnd w:id="26"/>
    <w:bookmarkStart w:id="30" w:name="настройка-сервиса-lmtp-и-unix-сокета"/>
    <w:p>
      <w:pPr>
        <w:pStyle w:val="Heading2"/>
      </w:pPr>
      <w:r>
        <w:t xml:space="preserve">Настройка сервиса LMTP и unix-сокета</w:t>
      </w:r>
    </w:p>
    <w:p>
      <w:pPr>
        <w:pStyle w:val="CaptionedFigure"/>
      </w:pPr>
      <w:r>
        <w:drawing>
          <wp:inline>
            <wp:extent cx="4267200" cy="3203913"/>
            <wp:effectExtent b="0" l="0" r="0" t="0"/>
            <wp:docPr descr="Сервис LMTP в 10-master.conf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Сервис LMTP в 10-master.conf</w:t>
      </w:r>
    </w:p>
    <w:bookmarkEnd w:id="30"/>
    <w:bookmarkStart w:id="34" w:name="X3806e4e6687dd7f07ce734eb5486ebcead694c6"/>
    <w:p>
      <w:pPr>
        <w:pStyle w:val="Heading2"/>
      </w:pPr>
      <w:r>
        <w:t xml:space="preserve">Формат имени пользователя для аутентификации</w:t>
      </w:r>
    </w:p>
    <w:p>
      <w:pPr>
        <w:pStyle w:val="CaptionedFigure"/>
      </w:pPr>
      <w:r>
        <w:drawing>
          <wp:inline>
            <wp:extent cx="4267200" cy="3638830"/>
            <wp:effectExtent b="0" l="0" r="0" t="0"/>
            <wp:docPr descr="auth_username_format в 10-auth.conf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8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auth_username_format в 10-auth.conf</w:t>
      </w:r>
    </w:p>
    <w:bookmarkEnd w:id="34"/>
    <w:bookmarkStart w:id="38" w:name="доставка-сообщения-анализ-логов"/>
    <w:p>
      <w:pPr>
        <w:pStyle w:val="Heading2"/>
      </w:pPr>
      <w:r>
        <w:t xml:space="preserve">Доставка сообщения: анализ логов</w:t>
      </w:r>
    </w:p>
    <w:p>
      <w:pPr>
        <w:pStyle w:val="CaptionedFigure"/>
      </w:pPr>
      <w:r>
        <w:drawing>
          <wp:inline>
            <wp:extent cx="4267200" cy="2139214"/>
            <wp:effectExtent b="0" l="0" r="0" t="0"/>
            <wp:docPr descr="Логи доставки через LMTP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доставки через LMTP</w:t>
      </w:r>
    </w:p>
    <w:bookmarkEnd w:id="38"/>
    <w:bookmarkStart w:id="42" w:name="проверка-почтового-ящика-maildir"/>
    <w:p>
      <w:pPr>
        <w:pStyle w:val="Heading2"/>
      </w:pPr>
      <w:r>
        <w:t xml:space="preserve">Проверка почтового ящика Maildir</w:t>
      </w:r>
    </w:p>
    <w:p>
      <w:pPr>
        <w:pStyle w:val="CaptionedFigure"/>
      </w:pPr>
      <w:r>
        <w:drawing>
          <wp:inline>
            <wp:extent cx="4267200" cy="3579549"/>
            <wp:effectExtent b="0" l="0" r="0" t="0"/>
            <wp:docPr descr="Письмо доставлено в Maildir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Письмо доставлено в Maildir</w:t>
      </w:r>
    </w:p>
    <w:bookmarkEnd w:id="42"/>
    <w:bookmarkStart w:id="46" w:name="служба-auth-в-dovecot"/>
    <w:p>
      <w:pPr>
        <w:pStyle w:val="Heading2"/>
      </w:pPr>
      <w:r>
        <w:t xml:space="preserve">Служба auth в Dovecot</w:t>
      </w:r>
    </w:p>
    <w:p>
      <w:pPr>
        <w:pStyle w:val="CaptionedFigure"/>
      </w:pPr>
      <w:r>
        <w:drawing>
          <wp:inline>
            <wp:extent cx="4267200" cy="3823316"/>
            <wp:effectExtent b="0" l="0" r="0" t="0"/>
            <wp:docPr descr="service auth в 10-master.conf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2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service auth в 10-master.conf</w:t>
      </w:r>
    </w:p>
    <w:bookmarkEnd w:id="46"/>
    <w:bookmarkStart w:id="50" w:name="настройка-sasl-в-postfix"/>
    <w:p>
      <w:pPr>
        <w:pStyle w:val="Heading2"/>
      </w:pPr>
      <w:r>
        <w:t xml:space="preserve">Настройка SASL в Postfix</w:t>
      </w:r>
    </w:p>
    <w:p>
      <w:pPr>
        <w:pStyle w:val="CaptionedFigure"/>
      </w:pPr>
      <w:r>
        <w:drawing>
          <wp:inline>
            <wp:extent cx="4267200" cy="3571665"/>
            <wp:effectExtent b="0" l="0" r="0" t="0"/>
            <wp:docPr descr="Postfix: параметры SASL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Postfix: параметры SASL</w:t>
      </w:r>
    </w:p>
    <w:bookmarkEnd w:id="50"/>
    <w:bookmarkStart w:id="54" w:name="X20054a249e34870cc97f816666ff81525ccb110"/>
    <w:p>
      <w:pPr>
        <w:pStyle w:val="Heading2"/>
      </w:pPr>
      <w:r>
        <w:t xml:space="preserve">Временная конфигурация для теста SMTP AUTH</w:t>
      </w:r>
    </w:p>
    <w:p>
      <w:pPr>
        <w:pStyle w:val="CaptionedFigure"/>
      </w:pPr>
      <w:r>
        <w:drawing>
          <wp:inline>
            <wp:extent cx="4267200" cy="3501886"/>
            <wp:effectExtent b="0" l="0" r="0" t="0"/>
            <wp:docPr descr="master.cf для тестирования SMTP AUTH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0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master.cf для тестирования SMTP AUTH</w:t>
      </w:r>
    </w:p>
    <w:bookmarkEnd w:id="54"/>
    <w:bookmarkStart w:id="58" w:name="проверка-smtp-auth"/>
    <w:p>
      <w:pPr>
        <w:pStyle w:val="Heading2"/>
      </w:pPr>
      <w:r>
        <w:t xml:space="preserve">Проверка SMTP AUTH</w:t>
      </w:r>
    </w:p>
    <w:p>
      <w:pPr>
        <w:pStyle w:val="CaptionedFigure"/>
      </w:pPr>
      <w:r>
        <w:drawing>
          <wp:inline>
            <wp:extent cx="4267200" cy="1430481"/>
            <wp:effectExtent b="0" l="0" r="0" t="0"/>
            <wp:docPr descr="Успешная SMTP-аутентификация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3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SMTP-аутентификация</w:t>
      </w:r>
    </w:p>
    <w:bookmarkEnd w:id="58"/>
    <w:bookmarkStart w:id="62" w:name="подключение-tls-сертификат-dovecot"/>
    <w:p>
      <w:pPr>
        <w:pStyle w:val="Heading2"/>
      </w:pPr>
      <w:r>
        <w:t xml:space="preserve">Подключение TLS (сертификат Dovecot)</w:t>
      </w:r>
    </w:p>
    <w:p>
      <w:pPr>
        <w:pStyle w:val="CaptionedFigure"/>
      </w:pPr>
      <w:r>
        <w:drawing>
          <wp:inline>
            <wp:extent cx="4267200" cy="2335895"/>
            <wp:effectExtent b="0" l="0" r="0" t="0"/>
            <wp:docPr descr="TLS-параметры Postfix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TLS-параметры Postfix</w:t>
      </w:r>
    </w:p>
    <w:bookmarkEnd w:id="62"/>
    <w:bookmarkStart w:id="66" w:name="порт-submission-587-и-обязательный-tls"/>
    <w:p>
      <w:pPr>
        <w:pStyle w:val="Heading2"/>
      </w:pPr>
      <w:r>
        <w:t xml:space="preserve">Порт submission (587) и обязательный TLS</w:t>
      </w:r>
    </w:p>
    <w:p>
      <w:pPr>
        <w:pStyle w:val="CaptionedFigure"/>
      </w:pPr>
      <w:r>
        <w:drawing>
          <wp:inline>
            <wp:extent cx="4267200" cy="3922214"/>
            <wp:effectExtent b="0" l="0" r="0" t="0"/>
            <wp:docPr descr="Сервис submission в master.cf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Сервис submission в master.cf</w:t>
      </w:r>
    </w:p>
    <w:bookmarkEnd w:id="66"/>
    <w:bookmarkStart w:id="70" w:name="Xd1b9e2d6824101c093ad20477989b92dbaa187a"/>
    <w:p>
      <w:pPr>
        <w:pStyle w:val="Heading2"/>
      </w:pPr>
      <w:r>
        <w:t xml:space="preserve">Проверка STARTTLS и аутентификации на 587</w:t>
      </w:r>
    </w:p>
    <w:p>
      <w:pPr>
        <w:pStyle w:val="CaptionedFigure"/>
      </w:pPr>
      <w:r>
        <w:drawing>
          <wp:inline>
            <wp:extent cx="4267200" cy="3999496"/>
            <wp:effectExtent b="0" l="0" r="0" t="0"/>
            <wp:docPr descr="Проверка SMTP over TLS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9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SMTP over TLS</w:t>
      </w:r>
    </w:p>
    <w:bookmarkEnd w:id="70"/>
    <w:bookmarkStart w:id="74" w:name="настройка-evolution"/>
    <w:p>
      <w:pPr>
        <w:pStyle w:val="Heading2"/>
      </w:pPr>
      <w:r>
        <w:t xml:space="preserve">Настройка Evolution</w:t>
      </w:r>
    </w:p>
    <w:p>
      <w:pPr>
        <w:pStyle w:val="CaptionedFigure"/>
      </w:pPr>
      <w:r>
        <w:drawing>
          <wp:inline>
            <wp:extent cx="4267200" cy="3570129"/>
            <wp:effectExtent b="0" l="0" r="0" t="0"/>
            <wp:docPr descr="Параметры SMTP в Evolution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SMTP в Evolution</w:t>
      </w:r>
    </w:p>
    <w:bookmarkEnd w:id="74"/>
    <w:bookmarkStart w:id="78" w:name="результат-проверки"/>
    <w:p>
      <w:pPr>
        <w:pStyle w:val="Heading2"/>
      </w:pPr>
      <w:r>
        <w:t xml:space="preserve">Результат проверки</w:t>
      </w:r>
    </w:p>
    <w:p>
      <w:pPr>
        <w:pStyle w:val="CaptionedFigure"/>
      </w:pPr>
      <w:r>
        <w:drawing>
          <wp:inline>
            <wp:extent cx="4267200" cy="2452089"/>
            <wp:effectExtent b="0" l="0" r="0" t="0"/>
            <wp:docPr descr="Сообщения в Evolution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5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Сообщения в Evolution</w:t>
      </w:r>
    </w:p>
    <w:bookmarkEnd w:id="78"/>
    <w:bookmarkStart w:id="82" w:name="логи-сервера-при-работе-tls-и-auth"/>
    <w:p>
      <w:pPr>
        <w:pStyle w:val="Heading2"/>
      </w:pPr>
      <w:r>
        <w:t xml:space="preserve">Логи сервера при работе TLS и AUTH</w:t>
      </w:r>
    </w:p>
    <w:p>
      <w:pPr>
        <w:pStyle w:val="CaptionedFigure"/>
      </w:pPr>
      <w:r>
        <w:drawing>
          <wp:inline>
            <wp:extent cx="4267200" cy="3577665"/>
            <wp:effectExtent b="0" l="0" r="0" t="0"/>
            <wp:docPr descr="Фрагмент maillog: TLS + SASL + LMTP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maillog: TLS + SASL + LMTP</w:t>
      </w:r>
    </w:p>
    <w:bookmarkEnd w:id="82"/>
    <w:bookmarkEnd w:id="83"/>
    <w:bookmarkStart w:id="85" w:name="итоги-работы"/>
    <w:p>
      <w:pPr>
        <w:pStyle w:val="Heading1"/>
      </w:pPr>
      <w:r>
        <w:t xml:space="preserve">Итоги работы</w:t>
      </w:r>
    </w:p>
    <w:bookmarkStart w:id="84" w:name="вывод"/>
    <w:p>
      <w:pPr>
        <w:pStyle w:val="Heading2"/>
      </w:pPr>
      <w:r>
        <w:t xml:space="preserve">Вывод</w:t>
      </w:r>
    </w:p>
    <w:p>
      <w:pPr>
        <w:pStyle w:val="Compact"/>
        <w:numPr>
          <w:ilvl w:val="0"/>
          <w:numId w:val="1002"/>
        </w:numPr>
      </w:pPr>
      <w:r>
        <w:t xml:space="preserve">Настроена доставка почты через LMTP (Postfix → Dovecot)</w:t>
      </w:r>
    </w:p>
    <w:p>
      <w:pPr>
        <w:pStyle w:val="Compact"/>
        <w:numPr>
          <w:ilvl w:val="0"/>
          <w:numId w:val="1002"/>
        </w:numPr>
      </w:pPr>
      <w:r>
        <w:t xml:space="preserve">Реализована SMTP-аутентификация пользователей (SASL через Dovecot)</w:t>
      </w:r>
    </w:p>
    <w:p>
      <w:pPr>
        <w:pStyle w:val="Compact"/>
        <w:numPr>
          <w:ilvl w:val="0"/>
          <w:numId w:val="1002"/>
        </w:numPr>
      </w:pPr>
      <w:r>
        <w:t xml:space="preserve">Включён SMTP over TLS и настроен submission 587 с обязательным шифрованием</w:t>
      </w:r>
    </w:p>
    <w:p>
      <w:pPr>
        <w:pStyle w:val="Compact"/>
        <w:numPr>
          <w:ilvl w:val="0"/>
          <w:numId w:val="1002"/>
        </w:numPr>
      </w:pPr>
      <w:r>
        <w:t xml:space="preserve">Выполнено тестирование через консоль и Evolution</w:t>
      </w:r>
    </w:p>
    <w:p>
      <w:pPr>
        <w:pStyle w:val="Compact"/>
        <w:numPr>
          <w:ilvl w:val="0"/>
          <w:numId w:val="1002"/>
        </w:numPr>
      </w:pPr>
      <w:r>
        <w:t xml:space="preserve">Конфигурация перенесена в provisioning, обеспечено воспроизводимое развёртывание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2026-03-23T07:00:01Z</dcterms:created>
  <dcterms:modified xsi:type="dcterms:W3CDTF">2026-03-23T07:00:01Z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№10 — Расширенные настройки SMTP-сервера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