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Настройка NFS (Лабораторная работа № 13)</w:t>
      </w:r>
    </w:p>
    <w:p>
      <w:pPr>
        <w:pStyle w:val="Author"/>
      </w:pPr>
      <w:r>
        <w:t xml:space="preserve">Талебу Тенке Франк Устон</w:t>
      </w:r>
    </w:p>
    <w:bookmarkStart w:id="22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настройки сервера NFSv4</w:t>
      </w:r>
      <w:r>
        <w:br/>
      </w:r>
      <w:r>
        <w:t xml:space="preserve">для удалённого доступа к ресурсам и организации общего сетевого хранилища.</w:t>
      </w:r>
    </w:p>
    <w:bookmarkEnd w:id="20"/>
    <w:bookmarkStart w:id="2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Настроить экспорт каталогов на сервере NFS</w:t>
      </w:r>
    </w:p>
    <w:p>
      <w:pPr>
        <w:pStyle w:val="Compact"/>
        <w:numPr>
          <w:ilvl w:val="0"/>
          <w:numId w:val="1001"/>
        </w:numPr>
      </w:pPr>
      <w:r>
        <w:t xml:space="preserve">Обеспечить корректную работу SELinux-контекстов</w:t>
      </w:r>
    </w:p>
    <w:p>
      <w:pPr>
        <w:pStyle w:val="Compact"/>
        <w:numPr>
          <w:ilvl w:val="0"/>
          <w:numId w:val="1001"/>
        </w:numPr>
      </w:pPr>
      <w:r>
        <w:t xml:space="preserve">Настроить firewalld для работы NFS и RPC-служб</w:t>
      </w:r>
    </w:p>
    <w:p>
      <w:pPr>
        <w:pStyle w:val="Compact"/>
        <w:numPr>
          <w:ilvl w:val="0"/>
          <w:numId w:val="1001"/>
        </w:numPr>
      </w:pPr>
      <w:r>
        <w:t xml:space="preserve">Подключить ресурсы на клиенте и настроить автомонтирование</w:t>
      </w:r>
    </w:p>
    <w:p>
      <w:pPr>
        <w:pStyle w:val="Compact"/>
        <w:numPr>
          <w:ilvl w:val="0"/>
          <w:numId w:val="1001"/>
        </w:numPr>
      </w:pPr>
      <w:r>
        <w:t xml:space="preserve">Включить в дерево NFS каталог веб-сервера и пользовательские каталоги</w:t>
      </w:r>
    </w:p>
    <w:p>
      <w:pPr>
        <w:pStyle w:val="Compact"/>
        <w:numPr>
          <w:ilvl w:val="0"/>
          <w:numId w:val="1001"/>
        </w:numPr>
      </w:pPr>
      <w:r>
        <w:t xml:space="preserve">Автоматизировать настройку через provision-скрипты Vagrant</w:t>
      </w:r>
    </w:p>
    <w:bookmarkEnd w:id="21"/>
    <w:bookmarkEnd w:id="22"/>
    <w:bookmarkStart w:id="10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экспорт-корня-дерева-nfs"/>
    <w:p>
      <w:pPr>
        <w:pStyle w:val="Heading2"/>
      </w:pPr>
      <w:r>
        <w:t xml:space="preserve">Экспорт корня дерева NFS</w:t>
      </w:r>
    </w:p>
    <w:bookmarkStart w:id="26" w:name="fig:001"/>
    <w:p>
      <w:pPr>
        <w:pStyle w:val="CaptionedFigure"/>
      </w:pPr>
      <w:r>
        <w:drawing>
          <wp:inline>
            <wp:extent cx="4267200" cy="3384148"/>
            <wp:effectExtent b="0" l="0" r="0" t="0"/>
            <wp:docPr descr="Настройка экспорта /srv/nfs в /etc/export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экспорта /srv/nfs в /etc/exports</w:t>
      </w:r>
    </w:p>
    <w:bookmarkEnd w:id="26"/>
    <w:bookmarkEnd w:id="27"/>
    <w:bookmarkStart w:id="32" w:name="selinux-и-запуск-nfs-службы"/>
    <w:p>
      <w:pPr>
        <w:pStyle w:val="Heading2"/>
      </w:pPr>
      <w:r>
        <w:t xml:space="preserve">SELinux и запуск NFS-службы</w:t>
      </w:r>
    </w:p>
    <w:bookmarkStart w:id="31" w:name="fig:002"/>
    <w:p>
      <w:pPr>
        <w:pStyle w:val="CaptionedFigure"/>
      </w:pPr>
      <w:r>
        <w:drawing>
          <wp:inline>
            <wp:extent cx="4267200" cy="1616008"/>
            <wp:effectExtent b="0" l="0" r="0" t="0"/>
            <wp:docPr descr="Настройка SELinux-контекста и запуск службы NFS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SELinux-контекста и запуск службы NFS</w:t>
      </w:r>
    </w:p>
    <w:bookmarkEnd w:id="31"/>
    <w:bookmarkEnd w:id="32"/>
    <w:bookmarkStart w:id="37" w:name="настройка-firewalld-для-rpc-служб"/>
    <w:p>
      <w:pPr>
        <w:pStyle w:val="Heading2"/>
      </w:pPr>
      <w:r>
        <w:t xml:space="preserve">Настройка firewalld для RPC-служб</w:t>
      </w:r>
    </w:p>
    <w:bookmarkStart w:id="36" w:name="fig:003"/>
    <w:p>
      <w:pPr>
        <w:pStyle w:val="CaptionedFigure"/>
      </w:pPr>
      <w:r>
        <w:drawing>
          <wp:inline>
            <wp:extent cx="4267200" cy="1914701"/>
            <wp:effectExtent b="0" l="0" r="0" t="0"/>
            <wp:docPr descr="Добавление служб mountd и rpc-bind в firewalld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1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 mountd и rpc-bind в firewalld</w:t>
      </w:r>
    </w:p>
    <w:bookmarkEnd w:id="36"/>
    <w:bookmarkEnd w:id="37"/>
    <w:bookmarkStart w:id="42" w:name="проверка-экспортов-с-клиента"/>
    <w:p>
      <w:pPr>
        <w:pStyle w:val="Heading2"/>
      </w:pPr>
      <w:r>
        <w:t xml:space="preserve">Проверка экспортов с клиента</w:t>
      </w:r>
    </w:p>
    <w:bookmarkStart w:id="41" w:name="fig:004"/>
    <w:p>
      <w:pPr>
        <w:pStyle w:val="CaptionedFigure"/>
      </w:pPr>
      <w:r>
        <w:drawing>
          <wp:inline>
            <wp:extent cx="4267200" cy="3591207"/>
            <wp:effectExtent b="0" l="0" r="0" t="0"/>
            <wp:docPr descr="Проверка экспортов showmount и получение списка ресурсов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экспортов showmount и получение списка ресурсов</w:t>
      </w:r>
    </w:p>
    <w:bookmarkEnd w:id="41"/>
    <w:bookmarkEnd w:id="42"/>
    <w:bookmarkStart w:id="47" w:name="монтирование-nfs-на-клиенте"/>
    <w:p>
      <w:pPr>
        <w:pStyle w:val="Heading2"/>
      </w:pPr>
      <w:r>
        <w:t xml:space="preserve">Монтирование NFS на клиенте</w:t>
      </w:r>
    </w:p>
    <w:bookmarkStart w:id="46" w:name="fig:005"/>
    <w:p>
      <w:pPr>
        <w:pStyle w:val="CaptionedFigure"/>
      </w:pPr>
      <w:r>
        <w:drawing>
          <wp:inline>
            <wp:extent cx="4267200" cy="3649154"/>
            <wp:effectExtent b="0" l="0" r="0" t="0"/>
            <wp:docPr descr="Монтирование NFS и проверка mount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49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NFS и проверка mount</w:t>
      </w:r>
    </w:p>
    <w:bookmarkEnd w:id="46"/>
    <w:bookmarkEnd w:id="47"/>
    <w:bookmarkStart w:id="52" w:name="автомонтирование-через-fstab-на-клиенте"/>
    <w:p>
      <w:pPr>
        <w:pStyle w:val="Heading2"/>
      </w:pPr>
      <w:r>
        <w:t xml:space="preserve">Автомонтирование через fstab на клиенте</w:t>
      </w:r>
    </w:p>
    <w:bookmarkStart w:id="51" w:name="fig:006"/>
    <w:p>
      <w:pPr>
        <w:pStyle w:val="CaptionedFigure"/>
      </w:pPr>
      <w:r>
        <w:drawing>
          <wp:inline>
            <wp:extent cx="4267200" cy="3044963"/>
            <wp:effectExtent b="0" l="0" r="0" t="0"/>
            <wp:docPr descr="Добавление записи NFS в /etc/fstab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NFS в /etc/fstab</w:t>
      </w:r>
    </w:p>
    <w:bookmarkEnd w:id="51"/>
    <w:bookmarkEnd w:id="52"/>
    <w:bookmarkStart w:id="57" w:name="проверка-remote-fs.target"/>
    <w:p>
      <w:pPr>
        <w:pStyle w:val="Heading2"/>
      </w:pPr>
      <w:r>
        <w:t xml:space="preserve">Проверка remote-fs.target</w:t>
      </w:r>
    </w:p>
    <w:bookmarkStart w:id="56" w:name="fig:007"/>
    <w:p>
      <w:pPr>
        <w:pStyle w:val="CaptionedFigure"/>
      </w:pPr>
      <w:r>
        <w:drawing>
          <wp:inline>
            <wp:extent cx="4267200" cy="3096646"/>
            <wp:effectExtent b="0" l="0" r="0" t="0"/>
            <wp:docPr descr="Проверка статуса remote-fs.target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9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remote-fs.target</w:t>
      </w:r>
    </w:p>
    <w:bookmarkEnd w:id="56"/>
    <w:bookmarkEnd w:id="57"/>
    <w:bookmarkStart w:id="62" w:name="экспорт-каталога-веб-сервера"/>
    <w:p>
      <w:pPr>
        <w:pStyle w:val="Heading2"/>
      </w:pPr>
      <w:r>
        <w:t xml:space="preserve">Экспорт каталога веб-сервера</w:t>
      </w:r>
    </w:p>
    <w:bookmarkStart w:id="61" w:name="fig:008"/>
    <w:p>
      <w:pPr>
        <w:pStyle w:val="CaptionedFigure"/>
      </w:pPr>
      <w:r>
        <w:drawing>
          <wp:inline>
            <wp:extent cx="4267200" cy="1671631"/>
            <wp:effectExtent b="0" l="0" r="0" t="0"/>
            <wp:docPr descr="Добавление экспорта /srv/nfs/www в /etc/exports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экспорта /srv/nfs/www в /etc/exports</w:t>
      </w:r>
    </w:p>
    <w:bookmarkEnd w:id="61"/>
    <w:bookmarkEnd w:id="62"/>
    <w:bookmarkStart w:id="67" w:name="Xfbcba5ac1fc16de5662335f2ea0fb0de3b85104"/>
    <w:p>
      <w:pPr>
        <w:pStyle w:val="Heading2"/>
      </w:pPr>
      <w:r>
        <w:t xml:space="preserve">Bind-монтирование веб-каталога через fstab</w:t>
      </w:r>
    </w:p>
    <w:bookmarkStart w:id="66" w:name="fig:009"/>
    <w:p>
      <w:pPr>
        <w:pStyle w:val="CaptionedFigure"/>
      </w:pPr>
      <w:r>
        <w:drawing>
          <wp:inline>
            <wp:extent cx="4267200" cy="1673615"/>
            <wp:effectExtent b="0" l="0" r="0" t="0"/>
            <wp:docPr descr="Запись bind-монтирования /var/www в /etc/fstab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bind-монтирования /var/www в /etc/fstab</w:t>
      </w:r>
    </w:p>
    <w:bookmarkEnd w:id="66"/>
    <w:bookmarkEnd w:id="67"/>
    <w:bookmarkStart w:id="72" w:name="проверка-структуры-дерева-nfs-на-сервере"/>
    <w:p>
      <w:pPr>
        <w:pStyle w:val="Heading2"/>
      </w:pPr>
      <w:r>
        <w:t xml:space="preserve">Проверка структуры дерева NFS на сервере</w:t>
      </w:r>
    </w:p>
    <w:bookmarkStart w:id="71" w:name="fig:010"/>
    <w:p>
      <w:pPr>
        <w:pStyle w:val="CaptionedFigure"/>
      </w:pPr>
      <w:r>
        <w:drawing>
          <wp:inline>
            <wp:extent cx="4267200" cy="3520206"/>
            <wp:effectExtent b="0" l="0" r="0" t="0"/>
            <wp:docPr descr="Bind-монтирование и проверка /srv/nfs на сервере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Bind-монтирование и проверка /srv/nfs на сервере</w:t>
      </w:r>
    </w:p>
    <w:bookmarkEnd w:id="71"/>
    <w:bookmarkEnd w:id="72"/>
    <w:bookmarkStart w:id="77" w:name="проверка-структуры-дерева-nfs-на-клиенте"/>
    <w:p>
      <w:pPr>
        <w:pStyle w:val="Heading2"/>
      </w:pPr>
      <w:r>
        <w:t xml:space="preserve">Проверка структуры дерева NFS на клиенте</w:t>
      </w:r>
    </w:p>
    <w:bookmarkStart w:id="76" w:name="fig:011"/>
    <w:p>
      <w:pPr>
        <w:pStyle w:val="CaptionedFigure"/>
      </w:pPr>
      <w:r>
        <w:drawing>
          <wp:inline>
            <wp:extent cx="4267200" cy="3227938"/>
            <wp:effectExtent b="0" l="0" r="0" t="0"/>
            <wp:docPr descr="Проверка /mnt/nfs на клиенте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/mnt/nfs на клиенте</w:t>
      </w:r>
    </w:p>
    <w:bookmarkEnd w:id="76"/>
    <w:bookmarkEnd w:id="77"/>
    <w:bookmarkStart w:id="82" w:name="подготовка-пользовательского-каталога"/>
    <w:p>
      <w:pPr>
        <w:pStyle w:val="Heading2"/>
      </w:pPr>
      <w:r>
        <w:t xml:space="preserve">Подготовка пользовательского каталога</w:t>
      </w:r>
    </w:p>
    <w:bookmarkStart w:id="81" w:name="fig:012"/>
    <w:p>
      <w:pPr>
        <w:pStyle w:val="CaptionedFigure"/>
      </w:pPr>
      <w:r>
        <w:drawing>
          <wp:inline>
            <wp:extent cx="4267200" cy="1236340"/>
            <wp:effectExtent b="0" l="0" r="0" t="0"/>
            <wp:docPr descr="Создание каталога common и файла пользователя на сервере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common и файла пользователя на сервере</w:t>
      </w:r>
    </w:p>
    <w:bookmarkEnd w:id="81"/>
    <w:bookmarkEnd w:id="82"/>
    <w:bookmarkStart w:id="87" w:name="экспорт-пользовательского-каталога"/>
    <w:p>
      <w:pPr>
        <w:pStyle w:val="Heading2"/>
      </w:pPr>
      <w:r>
        <w:t xml:space="preserve">Экспорт пользовательского каталога</w:t>
      </w:r>
    </w:p>
    <w:bookmarkStart w:id="86" w:name="fig:013"/>
    <w:p>
      <w:pPr>
        <w:pStyle w:val="CaptionedFigure"/>
      </w:pPr>
      <w:r>
        <w:drawing>
          <wp:inline>
            <wp:extent cx="4267200" cy="2338003"/>
            <wp:effectExtent b="0" l="0" r="0" t="0"/>
            <wp:docPr descr="Добавление экспорта /srv/nfs/home/akabrikosov в /etc/exports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экспорта /srv/nfs/home/akabrikosov в /etc/exports</w:t>
      </w:r>
    </w:p>
    <w:bookmarkEnd w:id="86"/>
    <w:bookmarkEnd w:id="87"/>
    <w:bookmarkStart w:id="92" w:name="X7248ebac2706aba75f665445b767e26ac4af916"/>
    <w:p>
      <w:pPr>
        <w:pStyle w:val="Heading2"/>
      </w:pPr>
      <w:r>
        <w:t xml:space="preserve">Автоматизация bind-монтирования пользовательского каталога</w:t>
      </w:r>
    </w:p>
    <w:bookmarkStart w:id="91" w:name="fig:014"/>
    <w:p>
      <w:pPr>
        <w:pStyle w:val="CaptionedFigure"/>
      </w:pPr>
      <w:r>
        <w:drawing>
          <wp:inline>
            <wp:extent cx="4267200" cy="3570224"/>
            <wp:effectExtent b="0" l="0" r="0" t="0"/>
            <wp:docPr descr="Запись bind-монтирования пользователя в /etc/fstab" title="" id="89" name="Picture"/>
            <a:graphic>
              <a:graphicData uri="http://schemas.openxmlformats.org/drawingml/2006/picture">
                <pic:pic>
                  <pic:nvPicPr>
                    <pic:cNvPr descr="image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bind-монтирования пользователя в /etc/fstab</w:t>
      </w:r>
    </w:p>
    <w:bookmarkEnd w:id="91"/>
    <w:bookmarkEnd w:id="92"/>
    <w:bookmarkStart w:id="97" w:name="проверка-монтирования-на-сервере"/>
    <w:p>
      <w:pPr>
        <w:pStyle w:val="Heading2"/>
      </w:pPr>
      <w:r>
        <w:t xml:space="preserve">Проверка монтирования на сервере</w:t>
      </w:r>
    </w:p>
    <w:bookmarkStart w:id="96" w:name="fig:015"/>
    <w:p>
      <w:pPr>
        <w:pStyle w:val="CaptionedFigure"/>
      </w:pPr>
      <w:r>
        <w:drawing>
          <wp:inline>
            <wp:extent cx="4267200" cy="1824344"/>
            <wp:effectExtent b="0" l="0" r="0" t="0"/>
            <wp:docPr descr="Проверка активных монтирований /srv/nfs/www и /srv/nfs/home/akabrikosov" title="" id="94" name="Picture"/>
            <a:graphic>
              <a:graphicData uri="http://schemas.openxmlformats.org/drawingml/2006/picture">
                <pic:pic>
                  <pic:nvPicPr>
                    <pic:cNvPr descr="image/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2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активных монтирований /srv/nfs/www и /srv/nfs/home/akabrikosov</w:t>
      </w:r>
    </w:p>
    <w:bookmarkEnd w:id="96"/>
    <w:bookmarkEnd w:id="97"/>
    <w:bookmarkStart w:id="102" w:name="проверка-прав-доступа-на-клиенте"/>
    <w:p>
      <w:pPr>
        <w:pStyle w:val="Heading2"/>
      </w:pPr>
      <w:r>
        <w:t xml:space="preserve">Проверка прав доступа на клиенте</w:t>
      </w:r>
    </w:p>
    <w:bookmarkStart w:id="101" w:name="fig:016"/>
    <w:p>
      <w:pPr>
        <w:pStyle w:val="CaptionedFigure"/>
      </w:pPr>
      <w:r>
        <w:drawing>
          <wp:inline>
            <wp:extent cx="4267200" cy="3563088"/>
            <wp:effectExtent b="0" l="0" r="0" t="0"/>
            <wp:docPr descr="Создание файла пользователем и отказ в доступе для root" title="" id="99" name="Picture"/>
            <a:graphic>
              <a:graphicData uri="http://schemas.openxmlformats.org/drawingml/2006/picture">
                <pic:pic>
                  <pic:nvPicPr>
                    <pic:cNvPr descr="image/1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пользователем и отказ в доступе для root</w:t>
      </w:r>
    </w:p>
    <w:bookmarkEnd w:id="101"/>
    <w:bookmarkEnd w:id="102"/>
    <w:bookmarkStart w:id="107" w:name="проверка-синхронизации-данных-на-сервере"/>
    <w:p>
      <w:pPr>
        <w:pStyle w:val="Heading2"/>
      </w:pPr>
      <w:r>
        <w:t xml:space="preserve">Проверка синхронизации данных на сервере</w:t>
      </w:r>
    </w:p>
    <w:bookmarkStart w:id="106" w:name="fig:017"/>
    <w:p>
      <w:pPr>
        <w:pStyle w:val="CaptionedFigure"/>
      </w:pPr>
      <w:r>
        <w:drawing>
          <wp:inline>
            <wp:extent cx="4267200" cy="3394957"/>
            <wp:effectExtent b="0" l="0" r="0" t="0"/>
            <wp:docPr descr="Появление файлов клиента в каталоге пользователя на сервере" title="" id="104" name="Picture"/>
            <a:graphic>
              <a:graphicData uri="http://schemas.openxmlformats.org/drawingml/2006/picture">
                <pic:pic>
                  <pic:nvPicPr>
                    <pic:cNvPr descr="image/1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94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файлов клиента в каталоге пользователя на сервере</w:t>
      </w:r>
    </w:p>
    <w:bookmarkEnd w:id="106"/>
    <w:bookmarkEnd w:id="107"/>
    <w:bookmarkEnd w:id="108"/>
    <w:bookmarkStart w:id="110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10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настроены сервер и клиент NFSv4.</w:t>
      </w:r>
      <w:r>
        <w:br/>
      </w:r>
      <w:r>
        <w:t xml:space="preserve">Реализовано экспортирование каталогов с различными уровнями доступа: общий каталог, каталог веб-сервера и пользовательский каталог.</w:t>
      </w:r>
      <w:r>
        <w:br/>
      </w:r>
      <w:r>
        <w:t xml:space="preserve">Проверена корректность bind-монтирования, ограничений прав доступа и автоматического подключения сетевых ресурсов при загрузке системы.</w:t>
      </w:r>
      <w:r>
        <w:br/>
      </w:r>
      <w:r>
        <w:t xml:space="preserve">Настройка окружения автоматизирована с помощью provision-скриптов Vagrant, что обеспечивает воспроизводимость развертывания.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2026-03-23T06:50:12Z</dcterms:created>
  <dcterms:modified xsi:type="dcterms:W3CDTF">2026-03-23T06:50:12Z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Настройка NFS (Лабораторная работа № 13)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