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Настройка файловых служб Samba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Приобретение практических навыков настройки</w:t>
      </w:r>
      <w:r>
        <w:br/>
      </w:r>
      <w:r>
        <w:t xml:space="preserve">доступа групп пользователей к общим ресурсам</w:t>
      </w:r>
      <w:r>
        <w:br/>
      </w:r>
      <w:r>
        <w:t xml:space="preserve">по протоколу SMB (Samba).</w:t>
      </w:r>
    </w:p>
    <w:bookmarkEnd w:id="20"/>
    <w:bookmarkEnd w:id="21"/>
    <w:bookmarkStart w:id="8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настройка-сервера-samba"/>
    <w:p>
      <w:pPr>
        <w:pStyle w:val="Heading2"/>
      </w:pPr>
      <w:r>
        <w:t xml:space="preserve">Настройка сервера Samba</w:t>
      </w:r>
    </w:p>
    <w:p>
      <w:pPr>
        <w:pStyle w:val="CaptionedFigure"/>
      </w:pPr>
      <w:r>
        <w:drawing>
          <wp:inline>
            <wp:extent cx="4267200" cy="3238445"/>
            <wp:effectExtent b="0" l="0" r="0" t="0"/>
            <wp:docPr descr="Установка Samba и подготовка систем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38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Samba и подготовка системы</w:t>
      </w:r>
    </w:p>
    <w:bookmarkEnd w:id="25"/>
    <w:bookmarkStart w:id="29" w:name="настройка-конфигурации-samba"/>
    <w:p>
      <w:pPr>
        <w:pStyle w:val="Heading2"/>
      </w:pPr>
      <w:r>
        <w:t xml:space="preserve">Настройка конфигурации Samba</w:t>
      </w:r>
    </w:p>
    <w:p>
      <w:pPr>
        <w:pStyle w:val="CaptionedFigure"/>
      </w:pPr>
      <w:r>
        <w:drawing>
          <wp:inline>
            <wp:extent cx="4267200" cy="3566965"/>
            <wp:effectExtent b="0" l="0" r="0" t="0"/>
            <wp:docPr descr="Настройка файла smb.conf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6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файла smb.conf</w:t>
      </w:r>
    </w:p>
    <w:bookmarkEnd w:id="29"/>
    <w:bookmarkStart w:id="33" w:name="запуск-и-проверка-службы-samba"/>
    <w:p>
      <w:pPr>
        <w:pStyle w:val="Heading2"/>
      </w:pPr>
      <w:r>
        <w:t xml:space="preserve">Запуск и проверка службы Samba</w:t>
      </w:r>
    </w:p>
    <w:p>
      <w:pPr>
        <w:pStyle w:val="CaptionedFigure"/>
      </w:pPr>
      <w:r>
        <w:drawing>
          <wp:inline>
            <wp:extent cx="4267200" cy="1699846"/>
            <wp:effectExtent b="0" l="0" r="0" t="0"/>
            <wp:docPr descr="Проверка работы службы Samba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9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службы Samba</w:t>
      </w:r>
    </w:p>
    <w:bookmarkEnd w:id="33"/>
    <w:bookmarkStart w:id="37" w:name="настройка-межсетевого-экрана"/>
    <w:p>
      <w:pPr>
        <w:pStyle w:val="Heading2"/>
      </w:pPr>
      <w:r>
        <w:t xml:space="preserve">Настройка межсетевого экрана</w:t>
      </w:r>
    </w:p>
    <w:p>
      <w:pPr>
        <w:pStyle w:val="CaptionedFigure"/>
      </w:pPr>
      <w:r>
        <w:drawing>
          <wp:inline>
            <wp:extent cx="4267200" cy="1202962"/>
            <wp:effectExtent b="0" l="0" r="0" t="0"/>
            <wp:docPr descr="Просмотр файла samba.xml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02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samba.xml</w:t>
      </w:r>
    </w:p>
    <w:bookmarkEnd w:id="37"/>
    <w:bookmarkStart w:id="41" w:name="настройка-прав-доступа-e-selinux"/>
    <w:p>
      <w:pPr>
        <w:pStyle w:val="Heading2"/>
      </w:pPr>
      <w:r>
        <w:t xml:space="preserve">Настройка прав доступа e SELinux</w:t>
      </w:r>
    </w:p>
    <w:p>
      <w:pPr>
        <w:pStyle w:val="CaptionedFigure"/>
      </w:pPr>
      <w:r>
        <w:drawing>
          <wp:inline>
            <wp:extent cx="4267200" cy="1209040"/>
            <wp:effectExtent b="0" l="0" r="0" t="0"/>
            <wp:docPr descr="Настройка firewalld, прав доступа e SELinux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firewalld, прав доступа e SELinux</w:t>
      </w:r>
    </w:p>
    <w:bookmarkEnd w:id="41"/>
    <w:bookmarkStart w:id="45" w:name="проверка-контекста-selinux"/>
    <w:p>
      <w:pPr>
        <w:pStyle w:val="Heading2"/>
      </w:pPr>
      <w:r>
        <w:t xml:space="preserve">Проверка контекста SELinux</w:t>
      </w:r>
    </w:p>
    <w:p>
      <w:pPr>
        <w:pStyle w:val="CaptionedFigure"/>
      </w:pPr>
      <w:r>
        <w:drawing>
          <wp:inline>
            <wp:extent cx="4267200" cy="2641599"/>
            <wp:effectExtent b="0" l="0" r="0" t="0"/>
            <wp:docPr descr="Проверка контекста SELinux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контекста SELinux</w:t>
      </w:r>
    </w:p>
    <w:bookmarkEnd w:id="45"/>
    <w:bookmarkStart w:id="49" w:name="проверка-групп-пользователя"/>
    <w:p>
      <w:pPr>
        <w:pStyle w:val="Heading2"/>
      </w:pPr>
      <w:r>
        <w:t xml:space="preserve">Проверка групп пользователя</w:t>
      </w:r>
    </w:p>
    <w:p>
      <w:pPr>
        <w:pStyle w:val="CaptionedFigure"/>
      </w:pPr>
      <w:r>
        <w:drawing>
          <wp:inline>
            <wp:extent cx="4267200" cy="3994462"/>
            <wp:effectExtent b="0" l="0" r="0" t="0"/>
            <wp:docPr descr="Проверка UID e групп пользователя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94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UID e групп пользователя</w:t>
      </w:r>
    </w:p>
    <w:bookmarkEnd w:id="49"/>
    <w:bookmarkStart w:id="53" w:name="проверка-записи-em-общий-каталог"/>
    <w:p>
      <w:pPr>
        <w:pStyle w:val="Heading2"/>
      </w:pPr>
      <w:r>
        <w:t xml:space="preserve">Проверка записи em общий каталог</w:t>
      </w:r>
    </w:p>
    <w:p>
      <w:pPr>
        <w:pStyle w:val="CaptionedFigure"/>
      </w:pPr>
      <w:r>
        <w:drawing>
          <wp:inline>
            <wp:extent cx="4267200" cy="4116395"/>
            <wp:effectExtent b="0" l="0" r="0" t="0"/>
            <wp:docPr descr="Создание файла em общем каталоге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1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em общем каталоге</w:t>
      </w:r>
    </w:p>
    <w:bookmarkEnd w:id="53"/>
    <w:bookmarkStart w:id="57" w:name="просмотр-ресурсов-сервера-с-клиента"/>
    <w:p>
      <w:pPr>
        <w:pStyle w:val="Heading2"/>
      </w:pPr>
      <w:r>
        <w:t xml:space="preserve">Просмотр ресурсов сервера с клиента</w:t>
      </w:r>
    </w:p>
    <w:p>
      <w:pPr>
        <w:pStyle w:val="CaptionedFigure"/>
      </w:pPr>
      <w:r>
        <w:drawing>
          <wp:inline>
            <wp:extent cx="4267200" cy="3571769"/>
            <wp:effectExtent b="0" l="0" r="0" t="0"/>
            <wp:docPr descr="Просмотр ресурсов сервера Samba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1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ресурсов сервера Samba</w:t>
      </w:r>
    </w:p>
    <w:bookmarkEnd w:id="57"/>
    <w:bookmarkStart w:id="61" w:name="монтирование-общего-ресурса"/>
    <w:p>
      <w:pPr>
        <w:pStyle w:val="Heading2"/>
      </w:pPr>
      <w:r>
        <w:t xml:space="preserve">Монтирование общего ресурса</w:t>
      </w:r>
    </w:p>
    <w:p>
      <w:pPr>
        <w:pStyle w:val="CaptionedFigure"/>
      </w:pPr>
      <w:r>
        <w:drawing>
          <wp:inline>
            <wp:extent cx="4267200" cy="1939205"/>
            <wp:effectExtent b="0" l="0" r="0" t="0"/>
            <wp:docPr descr="Монтирование общего ресурса Samba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39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общего ресурса Samba</w:t>
      </w:r>
    </w:p>
    <w:bookmarkEnd w:id="61"/>
    <w:bookmarkStart w:id="65" w:name="проверка-записи-no-клиенте"/>
    <w:p>
      <w:pPr>
        <w:pStyle w:val="Heading2"/>
      </w:pPr>
      <w:r>
        <w:t xml:space="preserve">Проверка записи no клиенте</w:t>
      </w:r>
    </w:p>
    <w:p>
      <w:pPr>
        <w:pStyle w:val="CaptionedFigure"/>
      </w:pPr>
      <w:r>
        <w:drawing>
          <wp:inline>
            <wp:extent cx="4267200" cy="2569647"/>
            <wp:effectExtent b="0" l="0" r="0" t="0"/>
            <wp:docPr descr="Проверка записи em смонтированный ресурс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6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записи em смонтированный ресурс</w:t>
      </w:r>
    </w:p>
    <w:bookmarkEnd w:id="65"/>
    <w:bookmarkStart w:id="69" w:name="файл-учётных-данных-samba"/>
    <w:p>
      <w:pPr>
        <w:pStyle w:val="Heading2"/>
      </w:pPr>
      <w:r>
        <w:t xml:space="preserve">Файл учётных данных Samba</w:t>
      </w:r>
    </w:p>
    <w:p>
      <w:pPr>
        <w:pStyle w:val="CaptionedFigure"/>
      </w:pPr>
      <w:r>
        <w:drawing>
          <wp:inline>
            <wp:extent cx="4267200" cy="1388627"/>
            <wp:effectExtent b="0" l="0" r="0" t="0"/>
            <wp:docPr descr="Файл учётных данных smbusers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8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учётных данных smbusers</w:t>
      </w:r>
    </w:p>
    <w:bookmarkEnd w:id="69"/>
    <w:bookmarkStart w:id="73" w:name="автоматическое-монтирование"/>
    <w:p>
      <w:pPr>
        <w:pStyle w:val="Heading2"/>
      </w:pPr>
      <w:r>
        <w:t xml:space="preserve">Автоматическое монтирование</w:t>
      </w:r>
    </w:p>
    <w:p>
      <w:pPr>
        <w:pStyle w:val="CaptionedFigure"/>
      </w:pPr>
      <w:r>
        <w:drawing>
          <wp:inline>
            <wp:extent cx="4267200" cy="3572430"/>
            <wp:effectExtent b="0" l="0" r="0" t="0"/>
            <wp:docPr descr="Настройка автоматического монтирования em fstab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монтирования em fstab</w:t>
      </w:r>
    </w:p>
    <w:bookmarkEnd w:id="73"/>
    <w:bookmarkStart w:id="77" w:name="проверка-автоматического-монтирования"/>
    <w:p>
      <w:pPr>
        <w:pStyle w:val="Heading2"/>
      </w:pPr>
      <w:r>
        <w:t xml:space="preserve">Проверка автоматического монтирования</w:t>
      </w:r>
    </w:p>
    <w:p>
      <w:pPr>
        <w:pStyle w:val="CaptionedFigure"/>
      </w:pPr>
      <w:r>
        <w:drawing>
          <wp:inline>
            <wp:extent cx="4267200" cy="3556000"/>
            <wp:effectExtent b="0" l="0" r="0" t="0"/>
            <wp:docPr descr="Монтирование ресурсов из fstab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ресурсов из fstab</w:t>
      </w:r>
    </w:p>
    <w:bookmarkEnd w:id="77"/>
    <w:bookmarkStart w:id="81" w:name="проверка-доступа-после-монтирования"/>
    <w:p>
      <w:pPr>
        <w:pStyle w:val="Heading2"/>
      </w:pPr>
      <w:r>
        <w:t xml:space="preserve">Проверка доступа после монтирования</w:t>
      </w:r>
    </w:p>
    <w:p>
      <w:pPr>
        <w:pStyle w:val="CaptionedFigure"/>
      </w:pPr>
      <w:r>
        <w:drawing>
          <wp:inline>
            <wp:extent cx="4267200" cy="2751221"/>
            <wp:effectExtent b="0" l="0" r="0" t="0"/>
            <wp:docPr descr="Проверка доступа после монтирования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51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после монтирования</w:t>
      </w:r>
    </w:p>
    <w:bookmarkEnd w:id="81"/>
    <w:bookmarkEnd w:id="82"/>
    <w:bookmarkStart w:id="84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83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выполнена настройка сервера</w:t>
      </w:r>
      <w:r>
        <w:br/>
      </w:r>
      <w:r>
        <w:t xml:space="preserve">e клиента Samba em виртуальной среде.</w:t>
      </w:r>
      <w:r>
        <w:br/>
      </w:r>
      <w:r>
        <w:t xml:space="preserve">Реализован общий ресурс с разграничением прав доступа</w:t>
      </w:r>
      <w:r>
        <w:br/>
      </w:r>
      <w:r>
        <w:t xml:space="preserve">на основе групп Linux e механизмов SELinux.</w:t>
      </w:r>
      <w:r>
        <w:br/>
      </w:r>
      <w:r>
        <w:t xml:space="preserve">Проверена работа аутентифицированного доступа e</w:t>
      </w:r>
      <w:r>
        <w:br/>
      </w:r>
      <w:r>
        <w:t xml:space="preserve">автоматического монтирования ресурсов.</w:t>
      </w:r>
      <w:r>
        <w:br/>
      </w:r>
      <w:r>
        <w:t xml:space="preserve">Настройка автоматизирована с использованием Vagrant.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2026-03-23T06:47:28Z</dcterms:created>
  <dcterms:modified xsi:type="dcterms:W3CDTF">2026-03-23T06:47:28Z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Настройка файловых служб Samba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