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конфигурированию SMTP-сервера в части настройки аутентификации.</w:t>
      </w:r>
    </w:p>
    <w:bookmarkEnd w:id="20"/>
    <w:bookmarkStart w:id="7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3112186"/>
            <wp:effectExtent b="0" l="0" r="0" t="0"/>
            <wp:docPr descr="Открытие режима суперпользователя на виртуальной машине server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режима суперпользователя на виртуальной машине server.</w:t>
      </w:r>
    </w:p>
    <w:bookmarkEnd w:id="24"/>
    <w:bookmarkStart w:id="28" w:name="мониторинг-почтовой-службы"/>
    <w:p>
      <w:pPr>
        <w:pStyle w:val="Heading2"/>
      </w:pPr>
      <w:r>
        <w:t xml:space="preserve">Мониторинг почтовой службы</w:t>
      </w:r>
    </w:p>
    <w:p>
      <w:pPr>
        <w:pStyle w:val="FirstParagraph"/>
      </w:pPr>
      <w:r>
        <w:t xml:space="preserve">В дополнительном терминале запустим мониторинг работы почтовой службы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2803423"/>
            <wp:effectExtent b="0" l="0" r="0" t="0"/>
            <wp:docPr descr="Запуск мониторинга работы почтовой службы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3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 работы почтовой службы.</w:t>
      </w:r>
    </w:p>
    <w:bookmarkEnd w:id="28"/>
    <w:bookmarkStart w:id="32" w:name="настройка-lmtp-в-dovecot"/>
    <w:p>
      <w:pPr>
        <w:pStyle w:val="Heading2"/>
      </w:pPr>
      <w:r>
        <w:t xml:space="preserve">Настройка LMTP в Dovecot</w:t>
      </w:r>
    </w:p>
    <w:p>
      <w:pPr>
        <w:pStyle w:val="FirstParagraph"/>
      </w:pPr>
      <w:r>
        <w:t xml:space="preserve">Добавим в список протоколов, с которыми может работать Dovecot, протокол LMTP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3183976"/>
            <wp:effectExtent b="0" l="0" r="0" t="0"/>
            <wp:docPr descr="Добавление протокола LMTP в Dovecot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3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протокола LMTP в Dovecot.</w:t>
      </w:r>
    </w:p>
    <w:bookmarkEnd w:id="32"/>
    <w:bookmarkStart w:id="36" w:name="настройка-сервиса-lmtp"/>
    <w:p>
      <w:pPr>
        <w:pStyle w:val="Heading2"/>
      </w:pPr>
      <w:r>
        <w:t xml:space="preserve">Настройка сервиса lmtp</w:t>
      </w:r>
    </w:p>
    <w:p>
      <w:pPr>
        <w:pStyle w:val="FirstParagraph"/>
      </w:pPr>
      <w:r>
        <w:t xml:space="preserve">Настроим в Dovecot сервис lmtp для связи с Postfix, определив расположение unix-сокета и права доступа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1871812"/>
            <wp:effectExtent b="0" l="0" r="0" t="0"/>
            <wp:docPr descr="Настройка сервиса lmtp в Dovecot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сервиса lmtp в Dovecot.</w:t>
      </w:r>
    </w:p>
    <w:bookmarkEnd w:id="36"/>
    <w:bookmarkStart w:id="40" w:name="настройка-postfix-для-работы-с-lmtp"/>
    <w:p>
      <w:pPr>
        <w:pStyle w:val="Heading2"/>
      </w:pPr>
      <w:r>
        <w:t xml:space="preserve">Настройка Postfix для работы с LMTP</w:t>
      </w:r>
    </w:p>
    <w:p>
      <w:pPr>
        <w:pStyle w:val="FirstParagraph"/>
      </w:pPr>
      <w:r>
        <w:t xml:space="preserve">Переопределим в Postfix передачу сообщений через заданный unix-сокет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3132105"/>
            <wp:effectExtent b="0" l="0" r="0" t="0"/>
            <wp:docPr descr="Настройка Postfix для работы с LMTP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 для работы с LMTP.</w:t>
      </w:r>
    </w:p>
    <w:bookmarkEnd w:id="40"/>
    <w:bookmarkStart w:id="44" w:name="настройка-формата-аутентификации"/>
    <w:p>
      <w:pPr>
        <w:pStyle w:val="Heading2"/>
      </w:pPr>
      <w:r>
        <w:t xml:space="preserve">Настройка формата аутентификации</w:t>
      </w:r>
    </w:p>
    <w:p>
      <w:pPr>
        <w:pStyle w:val="FirstParagraph"/>
      </w:pPr>
      <w:r>
        <w:t xml:space="preserve">В файле /etc/dovecot/conf.d/10-auth.conf зададим формат имени пользователя для аутентификации в форме логина без указания домена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3345401"/>
            <wp:effectExtent b="0" l="0" r="0" t="0"/>
            <wp:docPr descr="Настройка формата аутентификации в Dovecot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формата аутентификации в Dovecot.</w:t>
      </w:r>
    </w:p>
    <w:bookmarkEnd w:id="44"/>
    <w:bookmarkStart w:id="48" w:name="перезапуск-служб"/>
    <w:p>
      <w:pPr>
        <w:pStyle w:val="Heading2"/>
      </w:pPr>
      <w:r>
        <w:t xml:space="preserve">Перезапуск служб</w:t>
      </w:r>
    </w:p>
    <w:p>
      <w:pPr>
        <w:pStyle w:val="FirstParagraph"/>
      </w:pPr>
      <w:r>
        <w:t xml:space="preserve">Перезапустим Postfix и Dovecot для применения изменений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125207"/>
            <wp:effectExtent b="0" l="0" r="0" t="0"/>
            <wp:docPr descr="Перезапуск Postfix и Dovecot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Postfix и Dovecot.</w:t>
      </w:r>
    </w:p>
    <w:bookmarkEnd w:id="48"/>
    <w:bookmarkStart w:id="52" w:name="отправка-тестового-письма"/>
    <w:p>
      <w:pPr>
        <w:pStyle w:val="Heading2"/>
      </w:pPr>
      <w:r>
        <w:t xml:space="preserve">Отправка тестового письма</w:t>
      </w:r>
    </w:p>
    <w:p>
      <w:pPr>
        <w:pStyle w:val="FirstParagraph"/>
      </w:pPr>
      <w:r>
        <w:t xml:space="preserve">Из-под учётной записи своего пользователя отправим письмо с клиента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3064151"/>
            <wp:effectExtent b="0" l="0" r="0" t="0"/>
            <wp:docPr descr="Отправка тестового письма с клиента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тестового письма с клиента.</w:t>
      </w:r>
    </w:p>
    <w:bookmarkEnd w:id="52"/>
    <w:bookmarkStart w:id="59" w:name="просмотр-логов-и-почтового-ящика"/>
    <w:p>
      <w:pPr>
        <w:pStyle w:val="Heading2"/>
      </w:pPr>
      <w:r>
        <w:t xml:space="preserve">Просмотр логов и почтового ящика</w:t>
      </w:r>
    </w:p>
    <w:p>
      <w:pPr>
        <w:pStyle w:val="FirstParagraph"/>
      </w:pPr>
      <w:r>
        <w:t xml:space="preserve">Посмотрим содержание логов при мониторинге почтовой службы и проверим почтовый ящик пользователя на сервере (рис.</w:t>
      </w:r>
      <w:r>
        <w:t xml:space="preserve"> </w:t>
      </w:r>
      <w:r>
        <w:t xml:space="preserve">@fig-9</w:t>
      </w:r>
      <w:r>
        <w:t xml:space="preserve">,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1251671"/>
            <wp:effectExtent b="0" l="0" r="0" t="0"/>
            <wp:docPr descr="Просмотр логов почтовой службы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1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 почтовой службы.</w:t>
      </w:r>
    </w:p>
    <w:p>
      <w:pPr>
        <w:pStyle w:val="CaptionedFigure"/>
      </w:pPr>
      <w:r>
        <w:drawing>
          <wp:inline>
            <wp:extent cx="3733800" cy="2043908"/>
            <wp:effectExtent b="0" l="0" r="0" t="0"/>
            <wp:docPr descr="Просмотр почтового ящика пользователя.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почтового ящика пользователя.</w:t>
      </w:r>
    </w:p>
    <w:bookmarkEnd w:id="59"/>
    <w:bookmarkStart w:id="63" w:name="настройка-аутентификации-sasl"/>
    <w:p>
      <w:pPr>
        <w:pStyle w:val="Heading2"/>
      </w:pPr>
      <w:r>
        <w:t xml:space="preserve">Настройка аутентификации SASL</w:t>
      </w:r>
    </w:p>
    <w:p>
      <w:pPr>
        <w:pStyle w:val="FirstParagraph"/>
      </w:pPr>
      <w:r>
        <w:t xml:space="preserve">Определим службу аутентификации пользователей в Dovecot и настроим Postfix для использования SASL-аутентификации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3431938"/>
            <wp:effectExtent b="0" l="0" r="0" t="0"/>
            <wp:docPr descr="Настройка аутентификации SASL.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1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аутентификации SASL.</w:t>
      </w:r>
    </w:p>
    <w:bookmarkEnd w:id="63"/>
    <w:bookmarkStart w:id="67" w:name="временный-запуск-smtp-с-аутентификацией"/>
    <w:p>
      <w:pPr>
        <w:pStyle w:val="Heading2"/>
      </w:pPr>
      <w:r>
        <w:t xml:space="preserve">Временный запуск SMTP с аутентификацией</w:t>
      </w:r>
    </w:p>
    <w:p>
      <w:pPr>
        <w:pStyle w:val="FirstParagraph"/>
      </w:pPr>
      <w:r>
        <w:t xml:space="preserve">Для проверки работы аутентификации временно запустим SMTP-сервер с возможностью аутентификации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3499559"/>
            <wp:effectExtent b="0" l="0" r="0" t="0"/>
            <wp:docPr descr="Настройка SMTP-сервера для проверки аутентификации.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9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SMTP-сервера для проверки аутентификации.</w:t>
      </w:r>
    </w:p>
    <w:bookmarkEnd w:id="67"/>
    <w:bookmarkStart w:id="71" w:name="тестирование-аутентификации-через-telnet"/>
    <w:p>
      <w:pPr>
        <w:pStyle w:val="Heading2"/>
      </w:pPr>
      <w:r>
        <w:t xml:space="preserve">Тестирование аутентификации через telnet</w:t>
      </w:r>
    </w:p>
    <w:p>
      <w:pPr>
        <w:pStyle w:val="FirstParagraph"/>
      </w:pPr>
      <w:r>
        <w:t xml:space="preserve">На клиенте установим telnet, получим строку для аутентификации и протестируем подключение к SMTP-серверу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3123863"/>
            <wp:effectExtent b="0" l="0" r="0" t="0"/>
            <wp:docPr descr="Тестирование аутентификации через telnet.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3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аутентификации через telnet.</w:t>
      </w:r>
    </w:p>
    <w:bookmarkEnd w:id="71"/>
    <w:bookmarkStart w:id="75" w:name="настройка-smtp-на-порту-587"/>
    <w:p>
      <w:pPr>
        <w:pStyle w:val="Heading2"/>
      </w:pPr>
      <w:r>
        <w:t xml:space="preserve">Настройка SMTP на порту 587</w:t>
      </w:r>
    </w:p>
    <w:p>
      <w:pPr>
        <w:pStyle w:val="FirstParagraph"/>
      </w:pPr>
      <w:r>
        <w:t xml:space="preserve">Настроим SMTP-сервер на 587-м порту, разрешим соответствующую службу в межсетевом экране и перезапустим Postfix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2145578"/>
            <wp:effectExtent b="0" l="0" r="0" t="0"/>
            <wp:docPr descr="Настройка SMTP на порту 587.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SMTP на порту 587.</w:t>
      </w:r>
    </w:p>
    <w:bookmarkEnd w:id="75"/>
    <w:bookmarkEnd w:id="76"/>
    <w:bookmarkStart w:id="7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конфигурированию SMTP-сервера в части настройки аутентификации.</w:t>
      </w:r>
    </w:p>
    <w:bookmarkEnd w:id="77"/>
    <w:bookmarkStart w:id="78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Приведите пример задания формата аутентификации пользователя в Dovecot в форме логина с указанием домена.</w:t>
      </w:r>
      <w:r>
        <w:br/>
      </w:r>
      <w:r>
        <w:t xml:space="preserve">В конфигурационном файле Dovecot (/etc/dovecot/conf.d/10-auth.conf) можно указать формат аутентификации следующим образом: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Талебу Тенке Франк Устон</dc:creator>
  <cp:keywords/>
  <dcterms:created xsi:type="dcterms:W3CDTF">2026-03-18T08:42:36Z</dcterms:created>
  <dcterms:modified xsi:type="dcterms:W3CDTF">2026-03-18T08:42:36Z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