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0.png" ContentType="image/png"/>
  <Override PartName="/word/media/rId45.png" ContentType="image/png"/>
  <Override PartName="/word/media/rId4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Методы кодирования и модуляция сигналов</w:t>
      </w:r>
    </w:p>
    <w:p>
      <w:pPr>
        <w:pStyle w:val="Subtitle"/>
      </w:pPr>
      <w:r>
        <w:t xml:space="preserve">Лабораторная работа №1</w:t>
      </w:r>
    </w:p>
    <w:p>
      <w:pPr>
        <w:pStyle w:val="Author"/>
      </w:pPr>
      <w:r>
        <w:t xml:space="preserve">Талебу Тенке Франк Устон</w:t>
      </w:r>
    </w:p>
    <w:bookmarkStart w:id="21" w:name="введение"/>
    <w:p>
      <w:pPr>
        <w:pStyle w:val="Heading1"/>
      </w:pPr>
      <w:r>
        <w:t xml:space="preserve">Введение</w:t>
      </w:r>
    </w:p>
    <w:bookmarkStart w:id="20" w:name="цель-и-задачи"/>
    <w:p>
      <w:pPr>
        <w:pStyle w:val="Heading2"/>
      </w:pPr>
      <w:r>
        <w:t xml:space="preserve">Цель и задачи</w:t>
      </w:r>
    </w:p>
    <w:p>
      <w:pPr>
        <w:pStyle w:val="Compact"/>
        <w:numPr>
          <w:ilvl w:val="0"/>
          <w:numId w:val="1001"/>
        </w:numPr>
      </w:pPr>
      <w:r>
        <w:t xml:space="preserve">Изучить методы построения сигналов в Octave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 спектры сигналов и их сумм (БПФ)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амплитудную модуляцию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Реализовать и сравнить методы кодирования:</w:t>
      </w:r>
      <w:r>
        <w:br/>
      </w:r>
      <w:r>
        <w:t xml:space="preserve">Unipolar, AMI, NRZ, RZ, Manchester, Diff. Manchester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Проверить свойство самосинхронизации</w:t>
      </w:r>
    </w:p>
    <w:bookmarkEnd w:id="20"/>
    <w:bookmarkEnd w:id="21"/>
    <w:bookmarkStart w:id="26" w:name="построение-графиков"/>
    <w:p>
      <w:pPr>
        <w:pStyle w:val="Heading1"/>
      </w:pPr>
      <w:r>
        <w:t xml:space="preserve">Построение графиков</w:t>
      </w:r>
    </w:p>
    <w:bookmarkStart w:id="25" w:name="суммарные-гармоники"/>
    <w:p>
      <w:pPr>
        <w:pStyle w:val="Heading2"/>
      </w:pPr>
      <w:r>
        <w:t xml:space="preserve">Суммарные гармоники</w:t>
      </w:r>
    </w:p>
    <w:p>
      <w:pPr>
        <w:pStyle w:val="CaptionedFigure"/>
      </w:pPr>
      <w:r>
        <w:drawing>
          <wp:inline>
            <wp:extent cx="4160520" cy="1752143"/>
            <wp:effectExtent b="0" l="0" r="0" t="0"/>
            <wp:docPr descr="Графики y1 и y2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752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 y1 и y2</w:t>
      </w:r>
    </w:p>
    <w:bookmarkEnd w:id="25"/>
    <w:bookmarkEnd w:id="26"/>
    <w:bookmarkStart w:id="31" w:name="ряд-фурье"/>
    <w:p>
      <w:pPr>
        <w:pStyle w:val="Heading1"/>
      </w:pPr>
      <w:r>
        <w:t xml:space="preserve">Ряд Фурье</w:t>
      </w:r>
    </w:p>
    <w:bookmarkStart w:id="30" w:name="приближение-меандра"/>
    <w:p>
      <w:pPr>
        <w:pStyle w:val="Heading2"/>
      </w:pPr>
      <w:r>
        <w:t xml:space="preserve">Приближение меандра</w:t>
      </w:r>
    </w:p>
    <w:p>
      <w:pPr>
        <w:pStyle w:val="Compact"/>
        <w:numPr>
          <w:ilvl w:val="0"/>
          <w:numId w:val="1002"/>
        </w:numPr>
      </w:pPr>
      <w:r>
        <w:t xml:space="preserve">Нечётные гармоники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Амплитуда ∝ 1/n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Эффект Гиббса на фронтах</w:t>
      </w:r>
    </w:p>
    <w:p>
      <w:pPr>
        <w:pStyle w:val="CaptionedFigure"/>
      </w:pPr>
      <w:r>
        <w:drawing>
          <wp:inline>
            <wp:extent cx="4160520" cy="1681351"/>
            <wp:effectExtent b="0" l="0" r="0" t="0"/>
            <wp:docPr descr="Меандр (cos-разложение)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681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Меандр (cos-разложение)</w:t>
      </w:r>
    </w:p>
    <w:bookmarkEnd w:id="30"/>
    <w:bookmarkEnd w:id="31"/>
    <w:bookmarkStart w:id="36" w:name="спектральный-анализ"/>
    <w:p>
      <w:pPr>
        <w:pStyle w:val="Heading1"/>
      </w:pPr>
      <w:r>
        <w:t xml:space="preserve">Спектральный анализ</w:t>
      </w:r>
    </w:p>
    <w:bookmarkStart w:id="35" w:name="сумма-синусоид-10-гц-и-40-гц"/>
    <w:p>
      <w:pPr>
        <w:pStyle w:val="Heading2"/>
      </w:pPr>
      <w:r>
        <w:t xml:space="preserve">Сумма синусоид (10 Гц и 40 Гц)</w:t>
      </w:r>
    </w:p>
    <w:p>
      <w:pPr>
        <w:pStyle w:val="Compact"/>
        <w:numPr>
          <w:ilvl w:val="0"/>
          <w:numId w:val="1003"/>
        </w:numPr>
      </w:pPr>
      <w:r>
        <w:t xml:space="preserve">Пики на частотах составляющих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Нормировка спектра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Алиасинг при fd &lt; 80 Гц</w:t>
      </w:r>
    </w:p>
    <w:p>
      <w:pPr>
        <w:pStyle w:val="CaptionedFigure"/>
      </w:pPr>
      <w:r>
        <w:drawing>
          <wp:inline>
            <wp:extent cx="4160520" cy="3923431"/>
            <wp:effectExtent b="0" l="0" r="0" t="0"/>
            <wp:docPr descr="Спектр суммы сигналов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923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суммы сигналов</w:t>
      </w:r>
    </w:p>
    <w:bookmarkEnd w:id="35"/>
    <w:bookmarkEnd w:id="36"/>
    <w:bookmarkStart w:id="44" w:name="амплитудная-модуляция"/>
    <w:p>
      <w:pPr>
        <w:pStyle w:val="Heading1"/>
      </w:pPr>
      <w:r>
        <w:t xml:space="preserve">Амплитудная модуляция</w:t>
      </w:r>
    </w:p>
    <w:bookmarkStart w:id="43" w:name="сигнал-и-спектр-ам"/>
    <w:p>
      <w:pPr>
        <w:pStyle w:val="Heading2"/>
      </w:pPr>
      <w:r>
        <w:t xml:space="preserve">Сигнал и спектр АМ</w:t>
      </w:r>
    </w:p>
    <w:p>
      <w:pPr>
        <w:pStyle w:val="Compact"/>
        <w:numPr>
          <w:ilvl w:val="0"/>
          <w:numId w:val="1004"/>
        </w:numPr>
      </w:pPr>
      <w:r>
        <w:t xml:space="preserve">Несущая: 50 Гц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Модуляция: 5 Гц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Боковые полосы вокруг несущей</w:t>
      </w:r>
    </w:p>
    <w:p>
      <w:pPr>
        <w:pStyle w:val="FirstParagraph"/>
      </w:pPr>
      <w:r>
        <w:drawing>
          <wp:inline>
            <wp:extent cx="2453640" cy="1852376"/>
            <wp:effectExtent b="0" l="0" r="0" t="0"/>
            <wp:docPr descr="АМ сигнал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852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453640" cy="1986495"/>
            <wp:effectExtent b="0" l="0" r="0" t="0"/>
            <wp:docPr descr="АМ спектр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986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End w:id="44"/>
    <w:bookmarkStart w:id="52" w:name="кодирование-сигналов"/>
    <w:p>
      <w:pPr>
        <w:pStyle w:val="Heading1"/>
      </w:pPr>
      <w:r>
        <w:t xml:space="preserve">Кодирование сигналов</w:t>
      </w:r>
    </w:p>
    <w:bookmarkStart w:id="51" w:name="примеры-форм"/>
    <w:p>
      <w:pPr>
        <w:pStyle w:val="Heading2"/>
      </w:pPr>
      <w:r>
        <w:t xml:space="preserve">Примеры форм</w:t>
      </w:r>
    </w:p>
    <w:p>
      <w:pPr>
        <w:pStyle w:val="FirstParagraph"/>
      </w:pPr>
      <w:r>
        <w:t xml:space="preserve">Сравнение линий по переходам и спектральным свойствам.</w:t>
      </w:r>
    </w:p>
    <w:p>
      <w:pPr>
        <w:pStyle w:val="BodyText"/>
      </w:pPr>
      <w:r>
        <w:drawing>
          <wp:inline>
            <wp:extent cx="2560320" cy="1842778"/>
            <wp:effectExtent b="0" l="0" r="0" t="0"/>
            <wp:docPr descr="Unipolar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842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560320" cy="1928142"/>
            <wp:effectExtent b="0" l="0" r="0" t="0"/>
            <wp:docPr descr="Manchester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928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End w:id="52"/>
    <w:bookmarkStart w:id="57" w:name="самосинхронизация"/>
    <w:p>
      <w:pPr>
        <w:pStyle w:val="Heading1"/>
      </w:pPr>
      <w:r>
        <w:t xml:space="preserve">Самосинхронизация</w:t>
      </w:r>
    </w:p>
    <w:bookmarkStart w:id="56" w:name="иллюстрация"/>
    <w:p>
      <w:pPr>
        <w:pStyle w:val="Heading2"/>
      </w:pPr>
      <w:r>
        <w:t xml:space="preserve">Иллюстрация</w:t>
      </w:r>
    </w:p>
    <w:p>
      <w:pPr>
        <w:pStyle w:val="FirstParagraph"/>
      </w:pPr>
      <w:r>
        <w:t xml:space="preserve">Коды с переходом в середине бита обеспечивают синхронизацию при длинных сериях.</w:t>
      </w:r>
    </w:p>
    <w:p>
      <w:pPr>
        <w:pStyle w:val="CaptionedFigure"/>
      </w:pPr>
      <w:r>
        <w:drawing>
          <wp:inline>
            <wp:extent cx="3200400" cy="2573987"/>
            <wp:effectExtent b="0" l="0" r="0" t="0"/>
            <wp:docPr descr="Manchester sync" title="" id="54" name="Picture"/>
            <a:graphic>
              <a:graphicData uri="http://schemas.openxmlformats.org/drawingml/2006/picture">
                <pic:pic>
                  <pic:nvPicPr>
                    <pic:cNvPr descr="image/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573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Manchester sync</w:t>
      </w:r>
    </w:p>
    <w:bookmarkEnd w:id="56"/>
    <w:bookmarkEnd w:id="57"/>
    <w:bookmarkStart w:id="59" w:name="итоги"/>
    <w:p>
      <w:pPr>
        <w:pStyle w:val="Heading1"/>
      </w:pPr>
      <w:r>
        <w:t xml:space="preserve">Итоги</w:t>
      </w:r>
    </w:p>
    <w:bookmarkStart w:id="58" w:name="выводы"/>
    <w:p>
      <w:pPr>
        <w:pStyle w:val="Heading2"/>
      </w:pPr>
      <w:r>
        <w:t xml:space="preserve">Выводы</w:t>
      </w:r>
    </w:p>
    <w:p>
      <w:pPr>
        <w:pStyle w:val="Compact"/>
        <w:numPr>
          <w:ilvl w:val="0"/>
          <w:numId w:val="1005"/>
        </w:numPr>
      </w:pPr>
      <w:r>
        <w:t xml:space="preserve">БПФ подтверждает частотный состав сигналов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АМ демонстрирует огибающую и боковые полосы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Манчестер и дифф. Манчестер — самосинхронизируемые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Unipolar и NRZ хуже при длинных сериях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Практика в Octave закрепила навыки анализа сигналов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Методы кодирования и модуляция сигналов</dc:title>
  <dc:creator>Талебу Тенке Франк Устон</dc:creator>
  <dc:language>ru-RU</dc:language>
  <cp:keywords/>
  <dcterms:created xsi:type="dcterms:W3CDTF">2026-03-23T06:38:06Z</dcterms:created>
  <dcterms:modified xsi:type="dcterms:W3CDTF">2026-03-23T06:38:06Z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Лабораторная работа №1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