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Исследование работоспособности сети Fast Ethernet</w:t>
      </w:r>
    </w:p>
    <w:p>
      <w:pPr>
        <w:pStyle w:val="Subtitle"/>
      </w:pPr>
      <w:r>
        <w:t xml:space="preserve">Лабораторная работа №2</w:t>
      </w:r>
    </w:p>
    <w:p>
      <w:pPr>
        <w:pStyle w:val="Author"/>
      </w:pPr>
      <w:r>
        <w:t xml:space="preserve">Талебу Тенке Франк Устон</w:t>
      </w:r>
    </w:p>
    <w:bookmarkStart w:id="21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Изучить принципы технологий Ethernet и Fast Ethernet и освоить методики оценки работоспособности сети Fast Ethernet на практике.</w:t>
      </w:r>
    </w:p>
    <w:bookmarkEnd w:id="20"/>
    <w:bookmarkEnd w:id="21"/>
    <w:bookmarkStart w:id="37" w:name="исходные-данные-и-схема"/>
    <w:p>
      <w:pPr>
        <w:pStyle w:val="Heading1"/>
      </w:pPr>
      <w:r>
        <w:t xml:space="preserve">Исходные данные и схема</w:t>
      </w:r>
    </w:p>
    <w:bookmarkStart w:id="26" w:name="варианты-заданий"/>
    <w:p>
      <w:pPr>
        <w:pStyle w:val="Heading2"/>
      </w:pPr>
      <w:r>
        <w:t xml:space="preserve">Варианты заданий</w:t>
      </w:r>
    </w:p>
    <w:bookmarkStart w:id="25" w:name="fig:001"/>
    <w:p>
      <w:pPr>
        <w:pStyle w:val="CaptionedFigure"/>
      </w:pPr>
      <w:r>
        <w:drawing>
          <wp:inline>
            <wp:extent cx="4267200" cy="1738488"/>
            <wp:effectExtent b="0" l="0" r="0" t="0"/>
            <wp:docPr descr="Варианты задан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3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Варианты заданий</w:t>
      </w:r>
    </w:p>
    <w:bookmarkEnd w:id="25"/>
    <w:bookmarkEnd w:id="26"/>
    <w:bookmarkStart w:id="31" w:name="топология-сети"/>
    <w:p>
      <w:pPr>
        <w:pStyle w:val="Heading2"/>
      </w:pPr>
      <w:r>
        <w:t xml:space="preserve">Топология сети</w:t>
      </w:r>
    </w:p>
    <w:bookmarkStart w:id="30" w:name="fig:002"/>
    <w:p>
      <w:pPr>
        <w:pStyle w:val="CaptionedFigure"/>
      </w:pPr>
      <w:r>
        <w:drawing>
          <wp:inline>
            <wp:extent cx="4267200" cy="2194560"/>
            <wp:effectExtent b="0" l="0" r="0" t="0"/>
            <wp:docPr descr="Топология сети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</w:t>
      </w:r>
    </w:p>
    <w:bookmarkEnd w:id="30"/>
    <w:bookmarkEnd w:id="31"/>
    <w:bookmarkStart w:id="36" w:name="временные-задержки-компонентов"/>
    <w:p>
      <w:pPr>
        <w:pStyle w:val="Heading2"/>
      </w:pPr>
      <w:r>
        <w:t xml:space="preserve">Временные задержки компонентов</w:t>
      </w:r>
    </w:p>
    <w:bookmarkStart w:id="35" w:name="fig:003"/>
    <w:p>
      <w:pPr>
        <w:pStyle w:val="CaptionedFigure"/>
      </w:pPr>
      <w:r>
        <w:drawing>
          <wp:inline>
            <wp:extent cx="4267200" cy="1119611"/>
            <wp:effectExtent b="0" l="0" r="0" t="0"/>
            <wp:docPr descr="Временные задержки компонентов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19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Временные задержки компонентов</w:t>
      </w:r>
    </w:p>
    <w:bookmarkEnd w:id="35"/>
    <w:bookmarkEnd w:id="36"/>
    <w:bookmarkEnd w:id="37"/>
    <w:bookmarkStart w:id="39" w:name="выполнение-работы"/>
    <w:p>
      <w:pPr>
        <w:pStyle w:val="Heading1"/>
      </w:pPr>
      <w:r>
        <w:t xml:space="preserve">Выполнение работы</w:t>
      </w:r>
    </w:p>
    <w:bookmarkStart w:id="38" w:name="методики-оценки-работоспособности"/>
    <w:p>
      <w:pPr>
        <w:pStyle w:val="Heading2"/>
      </w:pPr>
      <w:r>
        <w:t xml:space="preserve">Методики оценки работоспособности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Первая модель</w:t>
      </w:r>
      <w:r>
        <w:t xml:space="preserve">: проверка по суммарной длине выбранных сегментов (сравнение с допустимой длиной для 2 повторителей).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Вторая модель</w:t>
      </w:r>
      <w:r>
        <w:t xml:space="preserve">: расчёт по задержкам (терминалы + повторители + кабель с коэффициентом категории) и проверка итогового значения с учётом резерва.</w:t>
      </w:r>
    </w:p>
    <w:bookmarkEnd w:id="38"/>
    <w:bookmarkEnd w:id="39"/>
    <w:bookmarkStart w:id="42" w:name="вариант-1"/>
    <w:p>
      <w:pPr>
        <w:pStyle w:val="Heading1"/>
      </w:pPr>
      <w:r>
        <w:t xml:space="preserve">Вариант 1</w:t>
      </w:r>
    </w:p>
    <w:bookmarkStart w:id="40" w:name="первая-модель-вариант-1"/>
    <w:p>
      <w:pPr>
        <w:pStyle w:val="Heading2"/>
      </w:pPr>
      <w:r>
        <w:t xml:space="preserve">Первая модель (Вариант 1)</w:t>
      </w:r>
    </w:p>
    <w:p>
      <w:pPr>
        <w:pStyle w:val="FirstParagraph"/>
      </w:pPr>
      <w:r>
        <w:t xml:space="preserve">Выбираем сегменты</w:t>
      </w:r>
      <w:r>
        <w:t xml:space="preserve"> </w:t>
      </w:r>
      <w:r>
        <w:rPr>
          <w:b/>
          <w:bCs/>
        </w:rPr>
        <w:t xml:space="preserve">(1–4–5)</w:t>
      </w:r>
      <w:r>
        <w:br/>
      </w:r>
      <w:r>
        <w:t xml:space="preserve">- 96 + 5 + 97 =</w:t>
      </w:r>
      <w:r>
        <w:t xml:space="preserve"> </w:t>
      </w:r>
      <w:r>
        <w:rPr>
          <w:b/>
          <w:bCs/>
        </w:rPr>
        <w:t xml:space="preserve">198 м</w:t>
      </w:r>
      <w:r>
        <w:br/>
      </w:r>
      <w:r>
        <w:t xml:space="preserve">- Для двух повторителей длина допустима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сеть работоспособна.</w:t>
      </w:r>
    </w:p>
    <w:bookmarkEnd w:id="40"/>
    <w:bookmarkStart w:id="41" w:name="вторая-модель-вариант-1"/>
    <w:p>
      <w:pPr>
        <w:pStyle w:val="Heading2"/>
      </w:pPr>
      <w:r>
        <w:t xml:space="preserve">Вторая модель (Вариант 1)</w:t>
      </w:r>
    </w:p>
    <w:p>
      <w:pPr>
        <w:pStyle w:val="Compact"/>
        <w:numPr>
          <w:ilvl w:val="0"/>
          <w:numId w:val="1002"/>
        </w:numPr>
      </w:pPr>
      <w:r>
        <w:t xml:space="preserve">Пара терминалов TX —</w:t>
      </w:r>
      <w:r>
        <w:t xml:space="preserve"> 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2"/>
        </w:numPr>
      </w:pPr>
      <w:r>
        <w:t xml:space="preserve">Сегмент 1: 96 м, кат. 5 —</w:t>
      </w:r>
      <w:r>
        <w:t xml:space="preserve"> </w:t>
      </w:r>
      <w:r>
        <w:rPr>
          <w:b/>
          <w:bCs/>
        </w:rPr>
        <w:t xml:space="preserve">96 × 1,112</w:t>
      </w:r>
    </w:p>
    <w:p>
      <w:pPr>
        <w:pStyle w:val="Compact"/>
        <w:numPr>
          <w:ilvl w:val="0"/>
          <w:numId w:val="1002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2"/>
        </w:numPr>
      </w:pPr>
      <w:r>
        <w:t xml:space="preserve">Сегмент 4: 5 м, кат. 5 —</w:t>
      </w:r>
      <w:r>
        <w:t xml:space="preserve"> </w:t>
      </w:r>
      <w:r>
        <w:rPr>
          <w:b/>
          <w:bCs/>
        </w:rPr>
        <w:t xml:space="preserve">5 × 1,112</w:t>
      </w:r>
    </w:p>
    <w:p>
      <w:pPr>
        <w:pStyle w:val="Compact"/>
        <w:numPr>
          <w:ilvl w:val="0"/>
          <w:numId w:val="1002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2"/>
        </w:numPr>
      </w:pPr>
      <w:r>
        <w:t xml:space="preserve">Сегмент 5: 97 м, кат. 5 —</w:t>
      </w:r>
      <w:r>
        <w:t xml:space="preserve"> </w:t>
      </w:r>
      <w:r>
        <w:rPr>
          <w:b/>
          <w:bCs/>
        </w:rPr>
        <w:t xml:space="preserve">97 × 1,112</w:t>
      </w:r>
    </w:p>
    <w:p>
      <w:pPr>
        <w:pStyle w:val="Compact"/>
        <w:numPr>
          <w:ilvl w:val="0"/>
          <w:numId w:val="1002"/>
        </w:numPr>
      </w:pPr>
      <w:r>
        <w:t xml:space="preserve">Итого (+4 резерв):</w:t>
      </w:r>
      <w:r>
        <w:t xml:space="preserve"> </w:t>
      </w:r>
      <w:r>
        <w:rPr>
          <w:b/>
          <w:bCs/>
        </w:rPr>
        <w:t xml:space="preserve">508,176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работоспособна.</w:t>
      </w:r>
    </w:p>
    <w:bookmarkEnd w:id="41"/>
    <w:bookmarkEnd w:id="42"/>
    <w:bookmarkStart w:id="45" w:name="вариант-2"/>
    <w:p>
      <w:pPr>
        <w:pStyle w:val="Heading1"/>
      </w:pPr>
      <w:r>
        <w:t xml:space="preserve">Вариант 2</w:t>
      </w:r>
    </w:p>
    <w:bookmarkStart w:id="43" w:name="первая-модель-вариант-2"/>
    <w:p>
      <w:pPr>
        <w:pStyle w:val="Heading2"/>
      </w:pPr>
      <w:r>
        <w:t xml:space="preserve">Первая модель (Вариант 2)</w:t>
      </w:r>
    </w:p>
    <w:p>
      <w:pPr>
        <w:pStyle w:val="FirstParagraph"/>
      </w:pPr>
      <w:r>
        <w:t xml:space="preserve">Выбираем сегменты</w:t>
      </w:r>
      <w:r>
        <w:t xml:space="preserve"> </w:t>
      </w:r>
      <w:r>
        <w:rPr>
          <w:b/>
          <w:bCs/>
        </w:rPr>
        <w:t xml:space="preserve">(1–4–6)</w:t>
      </w:r>
      <w:r>
        <w:br/>
      </w:r>
      <w:r>
        <w:t xml:space="preserve">- 95 + 90 + 98 =</w:t>
      </w:r>
      <w:r>
        <w:t xml:space="preserve"> </w:t>
      </w:r>
      <w:r>
        <w:rPr>
          <w:b/>
          <w:bCs/>
        </w:rPr>
        <w:t xml:space="preserve">283 м</w:t>
      </w:r>
      <w:r>
        <w:br/>
      </w:r>
      <w:r>
        <w:t xml:space="preserve">- Допустимо для 2 повторителей:</w:t>
      </w:r>
      <w:r>
        <w:t xml:space="preserve"> </w:t>
      </w:r>
      <w:r>
        <w:rPr>
          <w:b/>
          <w:bCs/>
        </w:rPr>
        <w:t xml:space="preserve">205 м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сеть неработоспособна.</w:t>
      </w:r>
    </w:p>
    <w:bookmarkEnd w:id="43"/>
    <w:bookmarkStart w:id="44" w:name="вторая-модель-вариант-2"/>
    <w:p>
      <w:pPr>
        <w:pStyle w:val="Heading2"/>
      </w:pPr>
      <w:r>
        <w:t xml:space="preserve">Вторая модель (Вариант 2)</w:t>
      </w:r>
    </w:p>
    <w:p>
      <w:pPr>
        <w:pStyle w:val="Compact"/>
        <w:numPr>
          <w:ilvl w:val="0"/>
          <w:numId w:val="1003"/>
        </w:numPr>
      </w:pPr>
      <w:r>
        <w:t xml:space="preserve">Пара терминалов TX —</w:t>
      </w:r>
      <w:r>
        <w:t xml:space="preserve"> 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3"/>
        </w:numPr>
      </w:pPr>
      <w:r>
        <w:t xml:space="preserve">Сегмент 1: 95 м, кат. 5 —</w:t>
      </w:r>
      <w:r>
        <w:t xml:space="preserve"> </w:t>
      </w:r>
      <w:r>
        <w:rPr>
          <w:b/>
          <w:bCs/>
        </w:rPr>
        <w:t xml:space="preserve">95 × 1,112</w:t>
      </w:r>
    </w:p>
    <w:p>
      <w:pPr>
        <w:pStyle w:val="Compact"/>
        <w:numPr>
          <w:ilvl w:val="0"/>
          <w:numId w:val="1003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3"/>
        </w:numPr>
      </w:pPr>
      <w:r>
        <w:t xml:space="preserve">Сегмент 4: 90 м, кат. 5 —</w:t>
      </w:r>
      <w:r>
        <w:t xml:space="preserve"> </w:t>
      </w:r>
      <w:r>
        <w:rPr>
          <w:b/>
          <w:bCs/>
        </w:rPr>
        <w:t xml:space="preserve">90 × 1,112</w:t>
      </w:r>
    </w:p>
    <w:p>
      <w:pPr>
        <w:pStyle w:val="Compact"/>
        <w:numPr>
          <w:ilvl w:val="0"/>
          <w:numId w:val="1003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3"/>
        </w:numPr>
      </w:pPr>
      <w:r>
        <w:t xml:space="preserve">Сегмент 6: 98 м, кат. 5 —</w:t>
      </w:r>
      <w:r>
        <w:t xml:space="preserve"> </w:t>
      </w:r>
      <w:r>
        <w:rPr>
          <w:b/>
          <w:bCs/>
        </w:rPr>
        <w:t xml:space="preserve">98 × 1,112</w:t>
      </w:r>
    </w:p>
    <w:p>
      <w:pPr>
        <w:pStyle w:val="Compact"/>
        <w:numPr>
          <w:ilvl w:val="0"/>
          <w:numId w:val="1003"/>
        </w:numPr>
      </w:pPr>
      <w:r>
        <w:t xml:space="preserve">Итого (+4 резерв):</w:t>
      </w:r>
      <w:r>
        <w:t xml:space="preserve"> </w:t>
      </w:r>
      <w:r>
        <w:rPr>
          <w:b/>
          <w:bCs/>
        </w:rPr>
        <w:t xml:space="preserve">602,696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неработоспособна.</w:t>
      </w:r>
    </w:p>
    <w:bookmarkEnd w:id="44"/>
    <w:bookmarkEnd w:id="45"/>
    <w:bookmarkStart w:id="48" w:name="вариант-3"/>
    <w:p>
      <w:pPr>
        <w:pStyle w:val="Heading1"/>
      </w:pPr>
      <w:r>
        <w:t xml:space="preserve">Вариант 3</w:t>
      </w:r>
    </w:p>
    <w:bookmarkStart w:id="46" w:name="первая-модель-вариант-3"/>
    <w:p>
      <w:pPr>
        <w:pStyle w:val="Heading2"/>
      </w:pPr>
      <w:r>
        <w:t xml:space="preserve">Первая модель (Вариант 3)</w:t>
      </w:r>
    </w:p>
    <w:p>
      <w:pPr>
        <w:pStyle w:val="FirstParagraph"/>
      </w:pPr>
      <w:r>
        <w:t xml:space="preserve">Выбираем сегменты</w:t>
      </w:r>
      <w:r>
        <w:t xml:space="preserve"> </w:t>
      </w:r>
      <w:r>
        <w:rPr>
          <w:b/>
          <w:bCs/>
        </w:rPr>
        <w:t xml:space="preserve">(2–4–6)</w:t>
      </w:r>
      <w:r>
        <w:br/>
      </w:r>
      <w:r>
        <w:t xml:space="preserve">- 95 + 5 + 100 =</w:t>
      </w:r>
      <w:r>
        <w:t xml:space="preserve"> </w:t>
      </w:r>
      <w:r>
        <w:rPr>
          <w:b/>
          <w:bCs/>
        </w:rPr>
        <w:t xml:space="preserve">200 м</w:t>
      </w:r>
      <w:r>
        <w:br/>
      </w:r>
      <w:r>
        <w:t xml:space="preserve">- Для 2 повторителей не превышает</w:t>
      </w:r>
      <w:r>
        <w:t xml:space="preserve"> </w:t>
      </w:r>
      <w:r>
        <w:rPr>
          <w:b/>
          <w:bCs/>
        </w:rPr>
        <w:t xml:space="preserve">205 м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сеть работоспособна.</w:t>
      </w:r>
    </w:p>
    <w:bookmarkEnd w:id="46"/>
    <w:bookmarkStart w:id="47" w:name="вторая-модель-вариант-3"/>
    <w:p>
      <w:pPr>
        <w:pStyle w:val="Heading2"/>
      </w:pPr>
      <w:r>
        <w:t xml:space="preserve">Вторая модель (Вариант 3)</w:t>
      </w:r>
    </w:p>
    <w:p>
      <w:pPr>
        <w:pStyle w:val="Compact"/>
        <w:numPr>
          <w:ilvl w:val="0"/>
          <w:numId w:val="1004"/>
        </w:numPr>
      </w:pPr>
      <w:r>
        <w:t xml:space="preserve">Пара терминалов TX —</w:t>
      </w:r>
      <w:r>
        <w:t xml:space="preserve"> 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4"/>
        </w:numPr>
      </w:pPr>
      <w:r>
        <w:t xml:space="preserve">Сегмент 2: 95 м, кат. 5 —</w:t>
      </w:r>
      <w:r>
        <w:t xml:space="preserve"> </w:t>
      </w:r>
      <w:r>
        <w:rPr>
          <w:b/>
          <w:bCs/>
        </w:rPr>
        <w:t xml:space="preserve">95 × 1,112</w:t>
      </w:r>
    </w:p>
    <w:p>
      <w:pPr>
        <w:pStyle w:val="Compact"/>
        <w:numPr>
          <w:ilvl w:val="0"/>
          <w:numId w:val="1004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4"/>
        </w:numPr>
      </w:pPr>
      <w:r>
        <w:t xml:space="preserve">Сегмент 4: 5 м, кат. 5 —</w:t>
      </w:r>
      <w:r>
        <w:t xml:space="preserve"> </w:t>
      </w:r>
      <w:r>
        <w:rPr>
          <w:b/>
          <w:bCs/>
        </w:rPr>
        <w:t xml:space="preserve">5 × 1,112</w:t>
      </w:r>
    </w:p>
    <w:p>
      <w:pPr>
        <w:pStyle w:val="Compact"/>
        <w:numPr>
          <w:ilvl w:val="0"/>
          <w:numId w:val="1004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4"/>
        </w:numPr>
      </w:pPr>
      <w:r>
        <w:t xml:space="preserve">Сегмент 6: 100 м, кат. 5 —</w:t>
      </w:r>
      <w:r>
        <w:t xml:space="preserve"> </w:t>
      </w:r>
      <w:r>
        <w:rPr>
          <w:b/>
          <w:bCs/>
        </w:rPr>
        <w:t xml:space="preserve">100 × 1,112</w:t>
      </w:r>
    </w:p>
    <w:p>
      <w:pPr>
        <w:pStyle w:val="Compact"/>
        <w:numPr>
          <w:ilvl w:val="0"/>
          <w:numId w:val="1004"/>
        </w:numPr>
      </w:pPr>
      <w:r>
        <w:t xml:space="preserve">Итого (+4 резерв):</w:t>
      </w:r>
      <w:r>
        <w:t xml:space="preserve"> </w:t>
      </w:r>
      <w:r>
        <w:rPr>
          <w:b/>
          <w:bCs/>
        </w:rPr>
        <w:t xml:space="preserve">510,4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работоспособна.</w:t>
      </w:r>
    </w:p>
    <w:bookmarkEnd w:id="47"/>
    <w:bookmarkEnd w:id="48"/>
    <w:bookmarkStart w:id="51" w:name="вариант-4"/>
    <w:p>
      <w:pPr>
        <w:pStyle w:val="Heading1"/>
      </w:pPr>
      <w:r>
        <w:t xml:space="preserve">Вариант 4</w:t>
      </w:r>
    </w:p>
    <w:bookmarkStart w:id="49" w:name="первая-модель-вариант-4"/>
    <w:p>
      <w:pPr>
        <w:pStyle w:val="Heading2"/>
      </w:pPr>
      <w:r>
        <w:t xml:space="preserve">Первая модель (Вариант 4)</w:t>
      </w:r>
    </w:p>
    <w:p>
      <w:pPr>
        <w:pStyle w:val="FirstParagraph"/>
      </w:pPr>
      <w:r>
        <w:t xml:space="preserve">Выбираем сегменты</w:t>
      </w:r>
      <w:r>
        <w:t xml:space="preserve"> </w:t>
      </w:r>
      <w:r>
        <w:rPr>
          <w:b/>
          <w:bCs/>
        </w:rPr>
        <w:t xml:space="preserve">(1–4–5)</w:t>
      </w:r>
      <w:r>
        <w:br/>
      </w:r>
      <w:r>
        <w:t xml:space="preserve">- 70 + 4 + 90 =</w:t>
      </w:r>
      <w:r>
        <w:t xml:space="preserve"> </w:t>
      </w:r>
      <w:r>
        <w:rPr>
          <w:b/>
          <w:bCs/>
        </w:rPr>
        <w:t xml:space="preserve">164 м</w:t>
      </w:r>
      <w:r>
        <w:br/>
      </w:r>
      <w:r>
        <w:t xml:space="preserve">- Для 2 повторителей не превышает</w:t>
      </w:r>
      <w:r>
        <w:t xml:space="preserve"> </w:t>
      </w:r>
      <w:r>
        <w:rPr>
          <w:b/>
          <w:bCs/>
        </w:rPr>
        <w:t xml:space="preserve">205 м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сеть работоспособна.</w:t>
      </w:r>
    </w:p>
    <w:bookmarkEnd w:id="49"/>
    <w:bookmarkStart w:id="50" w:name="вторая-модель-вариант-4"/>
    <w:p>
      <w:pPr>
        <w:pStyle w:val="Heading2"/>
      </w:pPr>
      <w:r>
        <w:t xml:space="preserve">Вторая модель (Вариант 4)</w:t>
      </w:r>
    </w:p>
    <w:p>
      <w:pPr>
        <w:pStyle w:val="Compact"/>
        <w:numPr>
          <w:ilvl w:val="0"/>
          <w:numId w:val="1005"/>
        </w:numPr>
      </w:pPr>
      <w:r>
        <w:t xml:space="preserve">Пара терминалов TX —</w:t>
      </w:r>
      <w:r>
        <w:t xml:space="preserve"> 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5"/>
        </w:numPr>
      </w:pPr>
      <w:r>
        <w:t xml:space="preserve">Сегмент 1: 70 м, кат. 5 —</w:t>
      </w:r>
      <w:r>
        <w:t xml:space="preserve"> </w:t>
      </w:r>
      <w:r>
        <w:rPr>
          <w:b/>
          <w:bCs/>
        </w:rPr>
        <w:t xml:space="preserve">70 × 1,112</w:t>
      </w:r>
    </w:p>
    <w:p>
      <w:pPr>
        <w:pStyle w:val="Compact"/>
        <w:numPr>
          <w:ilvl w:val="0"/>
          <w:numId w:val="1005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5"/>
        </w:numPr>
      </w:pPr>
      <w:r>
        <w:t xml:space="preserve">Сегмент 4: 4 м, кат. 5 —</w:t>
      </w:r>
      <w:r>
        <w:t xml:space="preserve"> </w:t>
      </w:r>
      <w:r>
        <w:rPr>
          <w:b/>
          <w:bCs/>
        </w:rPr>
        <w:t xml:space="preserve">4 × 1,112</w:t>
      </w:r>
    </w:p>
    <w:p>
      <w:pPr>
        <w:pStyle w:val="Compact"/>
        <w:numPr>
          <w:ilvl w:val="0"/>
          <w:numId w:val="1005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5"/>
        </w:numPr>
      </w:pPr>
      <w:r>
        <w:t xml:space="preserve">Сегмент 6: 90 м, кат. 5 —</w:t>
      </w:r>
      <w:r>
        <w:t xml:space="preserve"> </w:t>
      </w:r>
      <w:r>
        <w:rPr>
          <w:b/>
          <w:bCs/>
        </w:rPr>
        <w:t xml:space="preserve">90 × 1,112</w:t>
      </w:r>
    </w:p>
    <w:p>
      <w:pPr>
        <w:pStyle w:val="Compact"/>
        <w:numPr>
          <w:ilvl w:val="0"/>
          <w:numId w:val="1005"/>
        </w:numPr>
      </w:pPr>
      <w:r>
        <w:t xml:space="preserve">Итого (+4 резерв):</w:t>
      </w:r>
      <w:r>
        <w:t xml:space="preserve"> </w:t>
      </w:r>
      <w:r>
        <w:rPr>
          <w:b/>
          <w:bCs/>
        </w:rPr>
        <w:t xml:space="preserve">470,368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работоспособна.</w:t>
      </w:r>
    </w:p>
    <w:bookmarkEnd w:id="50"/>
    <w:bookmarkEnd w:id="51"/>
    <w:bookmarkStart w:id="54" w:name="вариант-5"/>
    <w:p>
      <w:pPr>
        <w:pStyle w:val="Heading1"/>
      </w:pPr>
      <w:r>
        <w:t xml:space="preserve">Вариант 5</w:t>
      </w:r>
    </w:p>
    <w:bookmarkStart w:id="52" w:name="первая-модель-вариант-5"/>
    <w:p>
      <w:pPr>
        <w:pStyle w:val="Heading2"/>
      </w:pPr>
      <w:r>
        <w:t xml:space="preserve">Первая модель (Вариант 5)</w:t>
      </w:r>
    </w:p>
    <w:p>
      <w:pPr>
        <w:pStyle w:val="FirstParagraph"/>
      </w:pPr>
      <w:r>
        <w:t xml:space="preserve">Выбираем сегменты</w:t>
      </w:r>
      <w:r>
        <w:t xml:space="preserve"> </w:t>
      </w:r>
      <w:r>
        <w:rPr>
          <w:b/>
          <w:bCs/>
        </w:rPr>
        <w:t xml:space="preserve">(2–4–6)</w:t>
      </w:r>
      <w:r>
        <w:br/>
      </w:r>
      <w:r>
        <w:t xml:space="preserve">- 95 + 15 + 100 =</w:t>
      </w:r>
      <w:r>
        <w:t xml:space="preserve"> </w:t>
      </w:r>
      <w:r>
        <w:rPr>
          <w:b/>
          <w:bCs/>
        </w:rPr>
        <w:t xml:space="preserve">210 м</w:t>
      </w:r>
      <w:r>
        <w:br/>
      </w:r>
      <w:r>
        <w:t xml:space="preserve">- Превышает допустимые</w:t>
      </w:r>
      <w:r>
        <w:t xml:space="preserve"> </w:t>
      </w:r>
      <w:r>
        <w:rPr>
          <w:b/>
          <w:bCs/>
        </w:rPr>
        <w:t xml:space="preserve">205 м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сеть неработоспособна.</w:t>
      </w:r>
    </w:p>
    <w:bookmarkEnd w:id="52"/>
    <w:bookmarkStart w:id="53" w:name="вторая-модель-вариант-5"/>
    <w:p>
      <w:pPr>
        <w:pStyle w:val="Heading2"/>
      </w:pPr>
      <w:r>
        <w:t xml:space="preserve">Вторая модель (Вариант 5)</w:t>
      </w:r>
    </w:p>
    <w:p>
      <w:pPr>
        <w:pStyle w:val="Compact"/>
        <w:numPr>
          <w:ilvl w:val="0"/>
          <w:numId w:val="1006"/>
        </w:numPr>
      </w:pPr>
      <w:r>
        <w:t xml:space="preserve">Пара терминалов TX —</w:t>
      </w:r>
      <w:r>
        <w:t xml:space="preserve"> 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6"/>
        </w:numPr>
      </w:pPr>
      <w:r>
        <w:t xml:space="preserve">Сегмент 2: 95 м, кат. 5 —</w:t>
      </w:r>
      <w:r>
        <w:t xml:space="preserve"> </w:t>
      </w:r>
      <w:r>
        <w:rPr>
          <w:b/>
          <w:bCs/>
        </w:rPr>
        <w:t xml:space="preserve">95 × 1,112</w:t>
      </w:r>
    </w:p>
    <w:p>
      <w:pPr>
        <w:pStyle w:val="Compact"/>
        <w:numPr>
          <w:ilvl w:val="0"/>
          <w:numId w:val="1006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6"/>
        </w:numPr>
      </w:pPr>
      <w:r>
        <w:t xml:space="preserve">Сегмент 4: 15 м, кат. 5 —</w:t>
      </w:r>
      <w:r>
        <w:t xml:space="preserve"> </w:t>
      </w:r>
      <w:r>
        <w:rPr>
          <w:b/>
          <w:bCs/>
        </w:rPr>
        <w:t xml:space="preserve">15 × 1,112</w:t>
      </w:r>
    </w:p>
    <w:p>
      <w:pPr>
        <w:pStyle w:val="Compact"/>
        <w:numPr>
          <w:ilvl w:val="0"/>
          <w:numId w:val="1006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6"/>
        </w:numPr>
      </w:pPr>
      <w:r>
        <w:t xml:space="preserve">Сегмент 6: 100 м, кат. 5 —</w:t>
      </w:r>
      <w:r>
        <w:t xml:space="preserve"> </w:t>
      </w:r>
      <w:r>
        <w:rPr>
          <w:b/>
          <w:bCs/>
        </w:rPr>
        <w:t xml:space="preserve">100 × 1,112</w:t>
      </w:r>
    </w:p>
    <w:p>
      <w:pPr>
        <w:pStyle w:val="Compact"/>
        <w:numPr>
          <w:ilvl w:val="0"/>
          <w:numId w:val="1006"/>
        </w:numPr>
      </w:pPr>
      <w:r>
        <w:t xml:space="preserve">Итого (+4 резерв):</w:t>
      </w:r>
      <w:r>
        <w:t xml:space="preserve"> </w:t>
      </w:r>
      <w:r>
        <w:rPr>
          <w:b/>
          <w:bCs/>
        </w:rPr>
        <w:t xml:space="preserve">521,52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неработоспособна.</w:t>
      </w:r>
    </w:p>
    <w:bookmarkEnd w:id="53"/>
    <w:bookmarkEnd w:id="54"/>
    <w:bookmarkStart w:id="57" w:name="вариант-6"/>
    <w:p>
      <w:pPr>
        <w:pStyle w:val="Heading1"/>
      </w:pPr>
      <w:r>
        <w:t xml:space="preserve">Вариант 6</w:t>
      </w:r>
    </w:p>
    <w:bookmarkStart w:id="55" w:name="первая-модель-вариант-6"/>
    <w:p>
      <w:pPr>
        <w:pStyle w:val="Heading2"/>
      </w:pPr>
      <w:r>
        <w:t xml:space="preserve">Первая модель (Вариант 6)</w:t>
      </w:r>
    </w:p>
    <w:p>
      <w:pPr>
        <w:pStyle w:val="FirstParagraph"/>
      </w:pPr>
      <w:r>
        <w:t xml:space="preserve">Выбираем сегменты</w:t>
      </w:r>
      <w:r>
        <w:t xml:space="preserve"> </w:t>
      </w:r>
      <w:r>
        <w:rPr>
          <w:b/>
          <w:bCs/>
        </w:rPr>
        <w:t xml:space="preserve">(2–4–6)</w:t>
      </w:r>
      <w:r>
        <w:br/>
      </w:r>
      <w:r>
        <w:t xml:space="preserve">- 98 + 9 + 100 =</w:t>
      </w:r>
      <w:r>
        <w:t xml:space="preserve"> </w:t>
      </w:r>
      <w:r>
        <w:rPr>
          <w:b/>
          <w:bCs/>
        </w:rPr>
        <w:t xml:space="preserve">207 м</w:t>
      </w:r>
      <w:r>
        <w:br/>
      </w:r>
      <w:r>
        <w:t xml:space="preserve">- Превышает допустимые</w:t>
      </w:r>
      <w:r>
        <w:t xml:space="preserve"> </w:t>
      </w:r>
      <w:r>
        <w:rPr>
          <w:b/>
          <w:bCs/>
        </w:rPr>
        <w:t xml:space="preserve">205 м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сеть неработоспособна.</w:t>
      </w:r>
    </w:p>
    <w:bookmarkEnd w:id="55"/>
    <w:bookmarkStart w:id="56" w:name="вторая-модель-вариант-6"/>
    <w:p>
      <w:pPr>
        <w:pStyle w:val="Heading2"/>
      </w:pPr>
      <w:r>
        <w:t xml:space="preserve">Вторая модель (Вариант 6)</w:t>
      </w:r>
    </w:p>
    <w:p>
      <w:pPr>
        <w:pStyle w:val="Compact"/>
        <w:numPr>
          <w:ilvl w:val="0"/>
          <w:numId w:val="1007"/>
        </w:numPr>
      </w:pPr>
      <w:r>
        <w:t xml:space="preserve">Пара терминалов TX —</w:t>
      </w:r>
      <w:r>
        <w:t xml:space="preserve"> </w:t>
      </w:r>
      <w:r>
        <w:rPr>
          <w:b/>
          <w:bCs/>
        </w:rPr>
        <w:t xml:space="preserve">100</w:t>
      </w:r>
    </w:p>
    <w:p>
      <w:pPr>
        <w:pStyle w:val="Compact"/>
        <w:numPr>
          <w:ilvl w:val="0"/>
          <w:numId w:val="1007"/>
        </w:numPr>
      </w:pPr>
      <w:r>
        <w:t xml:space="preserve">Сегмент 2: 98 м, кат. 5 —</w:t>
      </w:r>
      <w:r>
        <w:t xml:space="preserve"> </w:t>
      </w:r>
      <w:r>
        <w:rPr>
          <w:b/>
          <w:bCs/>
        </w:rPr>
        <w:t xml:space="preserve">98 × 1,112</w:t>
      </w:r>
    </w:p>
    <w:p>
      <w:pPr>
        <w:pStyle w:val="Compact"/>
        <w:numPr>
          <w:ilvl w:val="0"/>
          <w:numId w:val="1007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7"/>
        </w:numPr>
      </w:pPr>
      <w:r>
        <w:t xml:space="preserve">Сегмент 4: 9 м, кат. 5 —</w:t>
      </w:r>
      <w:r>
        <w:t xml:space="preserve"> </w:t>
      </w:r>
      <w:r>
        <w:rPr>
          <w:b/>
          <w:bCs/>
        </w:rPr>
        <w:t xml:space="preserve">9 × 1,112</w:t>
      </w:r>
    </w:p>
    <w:p>
      <w:pPr>
        <w:pStyle w:val="Compact"/>
        <w:numPr>
          <w:ilvl w:val="0"/>
          <w:numId w:val="1007"/>
        </w:numPr>
      </w:pPr>
      <w:r>
        <w:t xml:space="preserve">Повторитель класса II TX —</w:t>
      </w:r>
      <w:r>
        <w:t xml:space="preserve"> </w:t>
      </w:r>
      <w:r>
        <w:rPr>
          <w:b/>
          <w:bCs/>
        </w:rPr>
        <w:t xml:space="preserve">92</w:t>
      </w:r>
    </w:p>
    <w:p>
      <w:pPr>
        <w:pStyle w:val="Compact"/>
        <w:numPr>
          <w:ilvl w:val="0"/>
          <w:numId w:val="1007"/>
        </w:numPr>
      </w:pPr>
      <w:r>
        <w:t xml:space="preserve">Сегмент 6: 100 м, кат. 5 —</w:t>
      </w:r>
      <w:r>
        <w:t xml:space="preserve"> </w:t>
      </w:r>
      <w:r>
        <w:rPr>
          <w:b/>
          <w:bCs/>
        </w:rPr>
        <w:t xml:space="preserve">100 × 1,112</w:t>
      </w:r>
    </w:p>
    <w:p>
      <w:pPr>
        <w:pStyle w:val="Compact"/>
        <w:numPr>
          <w:ilvl w:val="0"/>
          <w:numId w:val="1007"/>
        </w:numPr>
      </w:pPr>
      <w:r>
        <w:t xml:space="preserve">Итого (+4 резерв):</w:t>
      </w:r>
      <w:r>
        <w:t xml:space="preserve"> </w:t>
      </w:r>
      <w:r>
        <w:rPr>
          <w:b/>
          <w:bCs/>
        </w:rPr>
        <w:t xml:space="preserve">518,184</w:t>
      </w:r>
      <w:r>
        <w:br/>
      </w:r>
      <w:r>
        <w:rPr>
          <w:b/>
          <w:bCs/>
        </w:rPr>
        <w:t xml:space="preserve">Вывод:</w:t>
      </w:r>
      <w:r>
        <w:t xml:space="preserve"> </w:t>
      </w:r>
      <w:r>
        <w:t xml:space="preserve">неработоспособна.</w:t>
      </w:r>
    </w:p>
    <w:bookmarkEnd w:id="56"/>
    <w:bookmarkEnd w:id="57"/>
    <w:bookmarkStart w:id="59" w:name="выводы-по-работе"/>
    <w:p>
      <w:pPr>
        <w:pStyle w:val="Heading1"/>
      </w:pPr>
      <w:r>
        <w:t xml:space="preserve">Выводы по работе</w:t>
      </w:r>
    </w:p>
    <w:bookmarkStart w:id="58" w:name="общий-вывод"/>
    <w:p>
      <w:pPr>
        <w:pStyle w:val="Heading2"/>
      </w:pPr>
      <w:r>
        <w:t xml:space="preserve">Общий вывод</w:t>
      </w:r>
    </w:p>
    <w:p>
      <w:pPr>
        <w:pStyle w:val="Compact"/>
        <w:numPr>
          <w:ilvl w:val="0"/>
          <w:numId w:val="1008"/>
        </w:numPr>
      </w:pPr>
      <w:r>
        <w:t xml:space="preserve">Изучены принципы технологий</w:t>
      </w:r>
      <w:r>
        <w:t xml:space="preserve"> </w:t>
      </w:r>
      <w:r>
        <w:rPr>
          <w:b/>
          <w:bCs/>
        </w:rPr>
        <w:t xml:space="preserve">Ethernet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Fast Ethernet</w:t>
      </w:r>
    </w:p>
    <w:p>
      <w:pPr>
        <w:pStyle w:val="Compact"/>
        <w:numPr>
          <w:ilvl w:val="0"/>
          <w:numId w:val="1008"/>
        </w:numPr>
      </w:pPr>
      <w:r>
        <w:t xml:space="preserve">Освоены две методики оценки работоспособности сети Fast Ethernet:</w:t>
      </w:r>
    </w:p>
    <w:p>
      <w:pPr>
        <w:pStyle w:val="Compact"/>
        <w:numPr>
          <w:ilvl w:val="1"/>
          <w:numId w:val="1009"/>
        </w:numPr>
      </w:pPr>
      <w:r>
        <w:t xml:space="preserve">по</w:t>
      </w:r>
      <w:r>
        <w:t xml:space="preserve"> </w:t>
      </w:r>
      <w:r>
        <w:rPr>
          <w:b/>
          <w:bCs/>
        </w:rPr>
        <w:t xml:space="preserve">суммарной длине сегментов</w:t>
      </w:r>
    </w:p>
    <w:p>
      <w:pPr>
        <w:pStyle w:val="Compact"/>
        <w:numPr>
          <w:ilvl w:val="1"/>
          <w:numId w:val="1009"/>
        </w:numPr>
      </w:pPr>
      <w:r>
        <w:t xml:space="preserve">по</w:t>
      </w:r>
      <w:r>
        <w:t xml:space="preserve"> </w:t>
      </w:r>
      <w:r>
        <w:rPr>
          <w:b/>
          <w:bCs/>
        </w:rPr>
        <w:t xml:space="preserve">расчёту задержек</w:t>
      </w:r>
      <w:r>
        <w:t xml:space="preserve"> </w:t>
      </w:r>
      <w:r>
        <w:t xml:space="preserve">с учётом компонентов и резерва</w:t>
      </w:r>
    </w:p>
    <w:p>
      <w:pPr>
        <w:pStyle w:val="Compact"/>
        <w:numPr>
          <w:ilvl w:val="0"/>
          <w:numId w:val="1008"/>
        </w:numPr>
      </w:pPr>
      <w:r>
        <w:t xml:space="preserve">Для вариантов</w:t>
      </w:r>
      <w:r>
        <w:t xml:space="preserve"> </w:t>
      </w:r>
      <w:r>
        <w:rPr>
          <w:b/>
          <w:bCs/>
        </w:rPr>
        <w:t xml:space="preserve">1, 3, 4</w:t>
      </w:r>
      <w:r>
        <w:t xml:space="preserve"> </w:t>
      </w:r>
      <w:r>
        <w:t xml:space="preserve">сеть работоспособна, для</w:t>
      </w:r>
      <w:r>
        <w:t xml:space="preserve"> </w:t>
      </w:r>
      <w:r>
        <w:rPr>
          <w:b/>
          <w:bCs/>
        </w:rPr>
        <w:t xml:space="preserve">2, 5, 6</w:t>
      </w:r>
      <w:r>
        <w:t xml:space="preserve"> </w:t>
      </w:r>
      <w:r>
        <w:t xml:space="preserve">— неработоспособна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работоспособности сети Fast Ethernet</dc:title>
  <dc:creator>Талебу Тенке Франк Устон</dc:creator>
  <dc:language>ru-RU</dc:language>
  <cp:keywords/>
  <dcterms:created xsi:type="dcterms:W3CDTF">2026-03-23T06:34:54Z</dcterms:created>
  <dcterms:modified xsi:type="dcterms:W3CDTF">2026-03-23T06:34:54Z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header-includes">
    <vt:lpwstr/>
  </property>
  <property fmtid="{D5CDD505-2E9C-101B-9397-08002B2CF9AE}" pid="4" name="institute">
    <vt:lpwstr>Российский университет дружбы народов, Москва, Россия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subtitle">
    <vt:lpwstr>Лабораторная работа №2</vt:lpwstr>
  </property>
  <property fmtid="{D5CDD505-2E9C-101B-9397-08002B2CF9AE}" pid="8" name="theme">
    <vt:lpwstr>metropolis</vt:lpwstr>
  </property>
  <property fmtid="{D5CDD505-2E9C-101B-9397-08002B2CF9AE}" pid="9" name="toc">
    <vt:lpwstr>False</vt:lpwstr>
  </property>
</Properties>
</file>