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Исследование работоспособности сети Fast Ethernet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57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4" w:name="fig:001"/>
    <w:p>
      <w:pPr>
        <w:pStyle w:val="CaptionedFigure"/>
      </w:pPr>
      <w:r>
        <w:drawing>
          <wp:inline>
            <wp:extent cx="3733800" cy="1521177"/>
            <wp:effectExtent b="0" l="0" r="0" t="0"/>
            <wp:docPr descr="Рис. 1: Варианты заданий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1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Варианты заданий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1920240"/>
            <wp:effectExtent b="0" l="0" r="0" t="0"/>
            <wp:docPr descr="Рис. 2: Топология сети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Топология сети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979660"/>
            <wp:effectExtent b="0" l="0" r="0" t="0"/>
            <wp:docPr descr="Рис. 3: Временные задержки компонент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Временные задержки компонентов</w:t>
      </w:r>
    </w:p>
    <w:bookmarkEnd w:id="32"/>
    <w:bookmarkStart w:id="36" w:name="вариант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Вариант 1</w:t>
      </w:r>
    </w:p>
    <w:bookmarkStart w:id="33" w:name="первая-модель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(1–4–5):</w:t>
      </w:r>
      <w:r>
        <w:br/>
      </w:r>
      <w:r>
        <w:t xml:space="preserve">96 + 5 + 97 = 198 м.</w:t>
      </w:r>
    </w:p>
    <w:p>
      <w:pPr>
        <w:pStyle w:val="BodyText"/>
      </w:pPr>
      <w:r>
        <w:t xml:space="preserve">Для двух повторителей эта длина является допустимой. Сеть работоспособна.</w:t>
      </w:r>
    </w:p>
    <w:bookmarkEnd w:id="33"/>
    <w:bookmarkStart w:id="34" w:name="вторая-модель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1, 96 м, категория 5 — 96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5 м, категория 5 — 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5, 97 м, категория 5 — 97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508,176 (работоспособна)</w:t>
      </w:r>
    </w:p>
    <w:bookmarkEnd w:id="34"/>
    <w:bookmarkStart w:id="35" w:name="вывод-по-варианту-1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Вывод по варианту 1</w:t>
      </w:r>
    </w:p>
    <w:p>
      <w:pPr>
        <w:pStyle w:val="FirstParagraph"/>
      </w:pPr>
      <w:r>
        <w:t xml:space="preserve">Вывод — сеть по обоим моделям является работоспособной.</w:t>
      </w:r>
    </w:p>
    <w:bookmarkEnd w:id="35"/>
    <w:bookmarkEnd w:id="36"/>
    <w:bookmarkStart w:id="40" w:name="вариант-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Вариант 2</w:t>
      </w:r>
    </w:p>
    <w:bookmarkStart w:id="37" w:name="первая-модель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(1–4–6):</w:t>
      </w:r>
      <w:r>
        <w:br/>
      </w:r>
      <w:r>
        <w:t xml:space="preserve">95 + 90 + 98 = 283 м.</w:t>
      </w:r>
    </w:p>
    <w:p>
      <w:pPr>
        <w:pStyle w:val="BodyText"/>
      </w:pPr>
      <w:r>
        <w:t xml:space="preserve">Для двух повторителей эта длина превышает допустимую (205 м). Сеть неработоспособна.</w:t>
      </w:r>
    </w:p>
    <w:bookmarkEnd w:id="37"/>
    <w:bookmarkStart w:id="38" w:name="вторая-модель-1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1, 95 м, категория 5 — 95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90 м, категория 5 — 90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6, 98 м, категория 5 — 98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602,696 (неработоспособна)</w:t>
      </w:r>
    </w:p>
    <w:bookmarkEnd w:id="38"/>
    <w:bookmarkStart w:id="39" w:name="вывод-по-варианту-2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Вывод по варианту 2</w:t>
      </w:r>
    </w:p>
    <w:p>
      <w:pPr>
        <w:pStyle w:val="FirstParagraph"/>
      </w:pPr>
      <w:r>
        <w:t xml:space="preserve">Вывод — сеть по обоим моделям неработоспособна.</w:t>
      </w:r>
    </w:p>
    <w:bookmarkEnd w:id="39"/>
    <w:bookmarkEnd w:id="40"/>
    <w:bookmarkStart w:id="44" w:name="вариант-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Вариант 3</w:t>
      </w:r>
    </w:p>
    <w:bookmarkStart w:id="41" w:name="первая-модель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(2–4–6):</w:t>
      </w:r>
      <w:r>
        <w:br/>
      </w:r>
      <w:r>
        <w:t xml:space="preserve">95 + 5 + 100 = 200 м.</w:t>
      </w:r>
    </w:p>
    <w:p>
      <w:pPr>
        <w:pStyle w:val="BodyText"/>
      </w:pPr>
      <w:r>
        <w:t xml:space="preserve">Для двух повторителей эта длина не превышает допустимую (205 м). Сеть работоспособна.</w:t>
      </w:r>
    </w:p>
    <w:bookmarkEnd w:id="41"/>
    <w:bookmarkStart w:id="42" w:name="вторая-модель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2, 95 м, категория 5 — 95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5 м, категория 5 — 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6, 100 м, категория 5 — 100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510,4 (работоспособна)</w:t>
      </w:r>
    </w:p>
    <w:bookmarkEnd w:id="42"/>
    <w:bookmarkStart w:id="43" w:name="вывод-по-варианту-3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Вывод по варианту 3</w:t>
      </w:r>
    </w:p>
    <w:p>
      <w:pPr>
        <w:pStyle w:val="FirstParagraph"/>
      </w:pPr>
      <w:r>
        <w:t xml:space="preserve">Вывод — сеть по обоим моделям работоспособна.</w:t>
      </w:r>
    </w:p>
    <w:bookmarkEnd w:id="43"/>
    <w:bookmarkEnd w:id="44"/>
    <w:bookmarkStart w:id="48" w:name="вариант-4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Вариант 4</w:t>
      </w:r>
    </w:p>
    <w:bookmarkStart w:id="45" w:name="первая-модель-3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(1–4–5):</w:t>
      </w:r>
      <w:r>
        <w:br/>
      </w:r>
      <w:r>
        <w:t xml:space="preserve">70 + 4 + 90 = 164 м.</w:t>
      </w:r>
    </w:p>
    <w:p>
      <w:pPr>
        <w:pStyle w:val="BodyText"/>
      </w:pPr>
      <w:r>
        <w:t xml:space="preserve">Для двух повторителей эта длина не превышает допустимую (205 м). Сеть работоспособна.</w:t>
      </w:r>
    </w:p>
    <w:bookmarkEnd w:id="45"/>
    <w:bookmarkStart w:id="46" w:name="вторая-модель-3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1, 70 м, категория 5 — 70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4 м, категория 5 — 4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6, 90 м, категория 5 — 90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470,368 (работоспособна)</w:t>
      </w:r>
    </w:p>
    <w:bookmarkEnd w:id="46"/>
    <w:bookmarkStart w:id="47" w:name="вывод-по-варианту-4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Вывод по варианту 4</w:t>
      </w:r>
    </w:p>
    <w:p>
      <w:pPr>
        <w:pStyle w:val="FirstParagraph"/>
      </w:pPr>
      <w:r>
        <w:t xml:space="preserve">Вывод — сеть по обоим моделям работоспособна.</w:t>
      </w:r>
    </w:p>
    <w:bookmarkEnd w:id="47"/>
    <w:bookmarkEnd w:id="48"/>
    <w:bookmarkStart w:id="52" w:name="вариант-5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Вариант 5</w:t>
      </w:r>
    </w:p>
    <w:bookmarkStart w:id="49" w:name="первая-модель-4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(2–4–6):</w:t>
      </w:r>
      <w:r>
        <w:br/>
      </w:r>
      <w:r>
        <w:t xml:space="preserve">95 + 15 + 100 = 210 м.</w:t>
      </w:r>
    </w:p>
    <w:p>
      <w:pPr>
        <w:pStyle w:val="BodyText"/>
      </w:pPr>
      <w:r>
        <w:t xml:space="preserve">Для двух повторителей эта длина превышает допустимую (205 м). Сеть неработоспособна.</w:t>
      </w:r>
    </w:p>
    <w:bookmarkEnd w:id="49"/>
    <w:bookmarkStart w:id="50" w:name="вторая-модель-4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2, 95 м, категория 5 — 95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15 м, категория 5 — 15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6, 100 м, категория 5 — 100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521,52 (неработоспособна)</w:t>
      </w:r>
    </w:p>
    <w:bookmarkEnd w:id="50"/>
    <w:bookmarkStart w:id="51" w:name="вывод-по-варианту-5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Вывод по варианту 5</w:t>
      </w:r>
    </w:p>
    <w:p>
      <w:pPr>
        <w:pStyle w:val="FirstParagraph"/>
      </w:pPr>
      <w:r>
        <w:t xml:space="preserve">Вывод — сеть по обоим моделям неработоспособна.</w:t>
      </w:r>
    </w:p>
    <w:bookmarkEnd w:id="51"/>
    <w:bookmarkEnd w:id="52"/>
    <w:bookmarkStart w:id="56" w:name="вариант-6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Вариант 6</w:t>
      </w:r>
    </w:p>
    <w:bookmarkStart w:id="53" w:name="первая-модель-5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Выбираем сегменты (2–4–6):</w:t>
      </w:r>
      <w:r>
        <w:br/>
      </w:r>
      <w:r>
        <w:t xml:space="preserve">98 + 9 + 100 = 207 м.</w:t>
      </w:r>
    </w:p>
    <w:p>
      <w:pPr>
        <w:pStyle w:val="BodyText"/>
      </w:pPr>
      <w:r>
        <w:t xml:space="preserve">Для двух повторителей эта длина превышает допустимую (205 м). Сеть неработоспособна.</w:t>
      </w:r>
    </w:p>
    <w:bookmarkEnd w:id="53"/>
    <w:bookmarkStart w:id="54" w:name="вторая-модель-5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Вторая модель</w:t>
      </w:r>
    </w:p>
    <w:p>
      <w:pPr>
        <w:pStyle w:val="FirstParagraph"/>
      </w:pPr>
      <w:r>
        <w:t xml:space="preserve">Пара терминалов TX — 100</w:t>
      </w:r>
    </w:p>
    <w:p>
      <w:pPr>
        <w:pStyle w:val="BodyText"/>
      </w:pPr>
      <w:r>
        <w:t xml:space="preserve">Сегмент 2, 98 м, категория 5 — 98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4, 9 м, категория 5 — 9 × 1,112</w:t>
      </w:r>
    </w:p>
    <w:p>
      <w:pPr>
        <w:pStyle w:val="BodyText"/>
      </w:pPr>
      <w:r>
        <w:t xml:space="preserve">Повторитель класса II TX — 92</w:t>
      </w:r>
    </w:p>
    <w:p>
      <w:pPr>
        <w:pStyle w:val="BodyText"/>
      </w:pPr>
      <w:r>
        <w:t xml:space="preserve">Сегмент 6, 100 м, категория 5 — 100 × 1,112</w:t>
      </w:r>
    </w:p>
    <w:p>
      <w:pPr>
        <w:pStyle w:val="BodyText"/>
      </w:pPr>
      <w:r>
        <w:t xml:space="preserve">Итого (+4 резерв):</w:t>
      </w:r>
      <w:r>
        <w:br/>
      </w:r>
      <w:r>
        <w:t xml:space="preserve">518,184 (неработоспособна)</w:t>
      </w:r>
    </w:p>
    <w:bookmarkEnd w:id="54"/>
    <w:bookmarkStart w:id="55" w:name="вывод-по-варианту-6"/>
    <w:p>
      <w:pPr>
        <w:pStyle w:val="Heading3"/>
      </w:pPr>
      <w:r>
        <w:rPr>
          <w:rStyle w:val="SectionNumber"/>
        </w:rPr>
        <w:t xml:space="preserve">2.6.3</w:t>
      </w:r>
      <w:r>
        <w:tab/>
      </w:r>
      <w:r>
        <w:t xml:space="preserve">Вывод по варианту 6</w:t>
      </w:r>
    </w:p>
    <w:p>
      <w:pPr>
        <w:pStyle w:val="FirstParagraph"/>
      </w:pPr>
      <w:r>
        <w:t xml:space="preserve">Вывод — сеть по обоим моделям неработоспособна.</w:t>
      </w:r>
    </w:p>
    <w:bookmarkEnd w:id="55"/>
    <w:bookmarkEnd w:id="56"/>
    <w:bookmarkEnd w:id="57"/>
    <w:bookmarkStart w:id="58" w:name="выводы-по-работ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 по работе</w:t>
      </w:r>
    </w:p>
    <w:p>
      <w:pPr>
        <w:pStyle w:val="FirstParagraph"/>
      </w:pPr>
      <w:r>
        <w:t xml:space="preserve">В ходе выполнения работы были изучены принципы технологии Ethernet и Fast Ethernet и практически освоены две методики оценки работоспособности сети, построенной на базе технологии Fast Ethernet.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Талебу Тенке Франк Устон</dc:creator>
  <dc:language>ru-RU</dc:language>
  <cp:keywords/>
  <dcterms:created xsi:type="dcterms:W3CDTF">2026-03-23T02:52:46Z</dcterms:created>
  <dcterms:modified xsi:type="dcterms:W3CDTF">2026-03-23T02:52:46Z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Исследование работоспособности сети Fast Ethernet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