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Подготовка экспериментального стенда GNS3</w:t>
      </w:r>
    </w:p>
    <w:p>
      <w:pPr>
        <w:pStyle w:val="Author"/>
      </w:pPr>
      <w:r>
        <w:t xml:space="preserve">Талебу Тенке Франк Устон</w:t>
      </w:r>
    </w:p>
    <w:bookmarkStart w:id="21" w:name="цель-работы"/>
    <w:p>
      <w:pPr>
        <w:pStyle w:val="Heading1"/>
      </w:pPr>
      <w:r>
        <w:t xml:space="preserve">Цель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Установить и настроить программный комплекс GNS3 и сопутствующее программное обеспечение, а также подготовить лабораторный стенд для моделирования сетевых устройств.</w:t>
      </w:r>
    </w:p>
    <w:bookmarkEnd w:id="20"/>
    <w:bookmarkEnd w:id="21"/>
    <w:bookmarkStart w:id="54" w:name="выполнение-работы"/>
    <w:p>
      <w:pPr>
        <w:pStyle w:val="Heading1"/>
      </w:pPr>
      <w:r>
        <w:t xml:space="preserve">Выполнение работы</w:t>
      </w:r>
    </w:p>
    <w:bookmarkStart w:id="25" w:name="подключение-к-gns3-vm"/>
    <w:p>
      <w:pPr>
        <w:pStyle w:val="Heading2"/>
      </w:pPr>
      <w:r>
        <w:t xml:space="preserve">Подключение к GNS3 VM</w:t>
      </w:r>
    </w:p>
    <w:p>
      <w:pPr>
        <w:pStyle w:val="CaptionedFigure"/>
      </w:pPr>
      <w:r>
        <w:drawing>
          <wp:inline>
            <wp:extent cx="4267200" cy="2456447"/>
            <wp:effectExtent b="0" l="0" r="0" t="0"/>
            <wp:docPr descr="Настройка подключения к GNS3 VM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56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подключения к GNS3 VM</w:t>
      </w:r>
    </w:p>
    <w:bookmarkEnd w:id="25"/>
    <w:bookmarkStart w:id="29" w:name="выбор-устройства-frr"/>
    <w:p>
      <w:pPr>
        <w:pStyle w:val="Heading2"/>
      </w:pPr>
      <w:r>
        <w:t xml:space="preserve">Выбор устройства FRR</w:t>
      </w:r>
    </w:p>
    <w:p>
      <w:pPr>
        <w:pStyle w:val="CaptionedFigure"/>
      </w:pPr>
      <w:r>
        <w:drawing>
          <wp:inline>
            <wp:extent cx="4267200" cy="3332156"/>
            <wp:effectExtent b="0" l="0" r="0" t="0"/>
            <wp:docPr descr="Выбор образа FRR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32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образа FRR</w:t>
      </w:r>
    </w:p>
    <w:bookmarkEnd w:id="29"/>
    <w:bookmarkStart w:id="33" w:name="установка-frr"/>
    <w:p>
      <w:pPr>
        <w:pStyle w:val="Heading2"/>
      </w:pPr>
      <w:r>
        <w:t xml:space="preserve">Установка FRR</w:t>
      </w:r>
    </w:p>
    <w:p>
      <w:pPr>
        <w:pStyle w:val="CaptionedFigure"/>
      </w:pPr>
      <w:r>
        <w:drawing>
          <wp:inline>
            <wp:extent cx="4267200" cy="3382850"/>
            <wp:effectExtent b="0" l="0" r="0" t="0"/>
            <wp:docPr descr="Выбор версии FRR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82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версии FRR</w:t>
      </w:r>
    </w:p>
    <w:bookmarkEnd w:id="33"/>
    <w:bookmarkStart w:id="37" w:name="информация-об-использовании-frr"/>
    <w:p>
      <w:pPr>
        <w:pStyle w:val="Heading2"/>
      </w:pPr>
      <w:r>
        <w:t xml:space="preserve">Информация об использовании FRR</w:t>
      </w:r>
    </w:p>
    <w:p>
      <w:pPr>
        <w:pStyle w:val="CaptionedFigure"/>
      </w:pPr>
      <w:r>
        <w:drawing>
          <wp:inline>
            <wp:extent cx="4267200" cy="3281153"/>
            <wp:effectExtent b="0" l="0" r="0" t="0"/>
            <wp:docPr descr="Информация об использовании FRR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81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об использовании FRR</w:t>
      </w:r>
    </w:p>
    <w:bookmarkEnd w:id="37"/>
    <w:bookmarkStart w:id="41" w:name="проверка-запуска-frr"/>
    <w:p>
      <w:pPr>
        <w:pStyle w:val="Heading2"/>
      </w:pPr>
      <w:r>
        <w:t xml:space="preserve">Проверка запуска FRR</w:t>
      </w:r>
    </w:p>
    <w:p>
      <w:pPr>
        <w:pStyle w:val="CaptionedFigure"/>
      </w:pPr>
      <w:r>
        <w:drawing>
          <wp:inline>
            <wp:extent cx="4267200" cy="1728316"/>
            <wp:effectExtent b="0" l="0" r="0" t="0"/>
            <wp:docPr descr="Загрузка маршрутизатора FRR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2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маршрутизатора FRR</w:t>
      </w:r>
    </w:p>
    <w:bookmarkEnd w:id="41"/>
    <w:bookmarkStart w:id="45" w:name="выбор-устройства-vyos"/>
    <w:p>
      <w:pPr>
        <w:pStyle w:val="Heading2"/>
      </w:pPr>
      <w:r>
        <w:t xml:space="preserve">Выбор устройства VyOS</w:t>
      </w:r>
    </w:p>
    <w:p>
      <w:pPr>
        <w:pStyle w:val="CaptionedFigure"/>
      </w:pPr>
      <w:r>
        <w:drawing>
          <wp:inline>
            <wp:extent cx="4267200" cy="2955751"/>
            <wp:effectExtent b="0" l="0" r="0" t="0"/>
            <wp:docPr descr="Выбор версии VyOS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55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версии VyOS</w:t>
      </w:r>
    </w:p>
    <w:bookmarkEnd w:id="45"/>
    <w:bookmarkStart w:id="49" w:name="информация-об-использовании-vyos"/>
    <w:p>
      <w:pPr>
        <w:pStyle w:val="Heading2"/>
      </w:pPr>
      <w:r>
        <w:t xml:space="preserve">Информация об использовании VyOS</w:t>
      </w:r>
    </w:p>
    <w:p>
      <w:pPr>
        <w:pStyle w:val="CaptionedFigure"/>
      </w:pPr>
      <w:r>
        <w:drawing>
          <wp:inline>
            <wp:extent cx="4267200" cy="2046922"/>
            <wp:effectExtent b="0" l="0" r="0" t="0"/>
            <wp:docPr descr="Информация об использовании VyOS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46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об использовании VyOS</w:t>
      </w:r>
    </w:p>
    <w:bookmarkEnd w:id="49"/>
    <w:bookmarkStart w:id="53" w:name="проверка-запуска-vyos"/>
    <w:p>
      <w:pPr>
        <w:pStyle w:val="Heading2"/>
      </w:pPr>
      <w:r>
        <w:t xml:space="preserve">Проверка запуска VyOS</w:t>
      </w:r>
    </w:p>
    <w:p>
      <w:pPr>
        <w:pStyle w:val="CaptionedFigure"/>
      </w:pPr>
      <w:r>
        <w:drawing>
          <wp:inline>
            <wp:extent cx="4267200" cy="859525"/>
            <wp:effectExtent b="0" l="0" r="0" t="0"/>
            <wp:docPr descr="Загрузка маршрутизатора VyOS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5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маршрутизатора VyOS</w:t>
      </w:r>
    </w:p>
    <w:bookmarkEnd w:id="53"/>
    <w:bookmarkEnd w:id="54"/>
    <w:bookmarkStart w:id="56" w:name="итоги-работы"/>
    <w:p>
      <w:pPr>
        <w:pStyle w:val="Heading1"/>
      </w:pPr>
      <w:r>
        <w:t xml:space="preserve">Итоги работы</w:t>
      </w:r>
    </w:p>
    <w:bookmarkStart w:id="55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выполнена установка и настройка GNS3 и GNS3 VM, а также произведён импорт и проверка работоспособности маршрутизаторов FRR и VyOS. Подготовленный лабораторный стенд готов к дальнейшему моделированию и исследованию сетевых конфигураций.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Талебу Тенке Франк Устон</dc:creator>
  <dc:language>ru-RU</dc:language>
  <cp:keywords/>
  <dcterms:created xsi:type="dcterms:W3CDTF">2026-03-23T06:28:46Z</dcterms:created>
  <dcterms:modified xsi:type="dcterms:W3CDTF">2026-03-23T06:28:46Z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Подготовка экспериментального стенда GNS3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