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4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Адресация IPv4 и IPv6. Настройка DHCP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3" w:name="fig:001"/>
    <w:p>
      <w:pPr>
        <w:pStyle w:val="CaptionedFigure"/>
      </w:pPr>
      <w:r>
        <w:drawing>
          <wp:inline>
            <wp:extent cx="4267200" cy="3077090"/>
            <wp:effectExtent b="0" l="0" r="0" t="0"/>
            <wp:docPr descr="Топология лабораторного стенда в GNS3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7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лабораторного стенда в GNS3</w:t>
      </w:r>
    </w:p>
    <w:bookmarkEnd w:id="23"/>
    <w:bookmarkStart w:id="27" w:name="fig:002"/>
    <w:p>
      <w:pPr>
        <w:pStyle w:val="CaptionedFigure"/>
      </w:pPr>
      <w:r>
        <w:drawing>
          <wp:inline>
            <wp:extent cx="4267200" cy="3422928"/>
            <wp:effectExtent b="0" l="0" r="0" t="0"/>
            <wp:docPr descr="Настройка IPv4-адреса интерфейса eth0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2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IPv4-адреса интерфейса eth0</w:t>
      </w:r>
    </w:p>
    <w:bookmarkEnd w:id="27"/>
    <w:bookmarkStart w:id="31" w:name="fig:003"/>
    <w:p>
      <w:pPr>
        <w:pStyle w:val="CaptionedFigure"/>
      </w:pPr>
      <w:r>
        <w:drawing>
          <wp:inline>
            <wp:extent cx="4267200" cy="3656861"/>
            <wp:effectExtent b="0" l="0" r="0" t="0"/>
            <wp:docPr descr="Настройка DHCP-сервера на VyOS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656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DHCP-сервера на VyOS</w:t>
      </w:r>
    </w:p>
    <w:bookmarkEnd w:id="31"/>
    <w:bookmarkStart w:id="35" w:name="fig:004"/>
    <w:p>
      <w:pPr>
        <w:pStyle w:val="CaptionedFigure"/>
      </w:pPr>
      <w:r>
        <w:drawing>
          <wp:inline>
            <wp:extent cx="4267200" cy="1266662"/>
            <wp:effectExtent b="0" l="0" r="0" t="0"/>
            <wp:docPr descr="Получение IP-адреса по DHCP на PC1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66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IP-адреса по DHCP на PC1</w:t>
      </w:r>
    </w:p>
    <w:bookmarkEnd w:id="35"/>
    <w:bookmarkStart w:id="39" w:name="fig:005"/>
    <w:p>
      <w:pPr>
        <w:pStyle w:val="CaptionedFigure"/>
      </w:pPr>
      <w:r>
        <w:drawing>
          <wp:inline>
            <wp:extent cx="4267200" cy="2067991"/>
            <wp:effectExtent b="0" l="0" r="0" t="0"/>
            <wp:docPr descr="Проверка IPv4-конфигурации и ping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67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IPv4-конфигурации и ping</w:t>
      </w:r>
    </w:p>
    <w:bookmarkEnd w:id="39"/>
    <w:bookmarkStart w:id="43" w:name="fig:006"/>
    <w:p>
      <w:pPr>
        <w:pStyle w:val="CaptionedFigure"/>
      </w:pPr>
      <w:r>
        <w:drawing>
          <wp:inline>
            <wp:extent cx="4267200" cy="3228229"/>
            <wp:effectExtent b="0" l="0" r="0" t="0"/>
            <wp:docPr descr="Статистика DHCP-сервера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8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Статистика DHCP-сервера</w:t>
      </w:r>
    </w:p>
    <w:bookmarkEnd w:id="43"/>
    <w:bookmarkStart w:id="47" w:name="fig:007"/>
    <w:p>
      <w:pPr>
        <w:pStyle w:val="CaptionedFigure"/>
      </w:pPr>
      <w:r>
        <w:drawing>
          <wp:inline>
            <wp:extent cx="4267200" cy="5013027"/>
            <wp:effectExtent b="0" l="0" r="0" t="0"/>
            <wp:docPr descr="Журнал работы DHCP-сервера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013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работы DHCP-сервера</w:t>
      </w:r>
    </w:p>
    <w:bookmarkEnd w:id="47"/>
    <w:bookmarkStart w:id="51" w:name="fig:008"/>
    <w:p>
      <w:pPr>
        <w:pStyle w:val="CaptionedFigure"/>
      </w:pPr>
      <w:r>
        <w:drawing>
          <wp:inline>
            <wp:extent cx="4267200" cy="1097014"/>
            <wp:effectExtent b="0" l="0" r="0" t="0"/>
            <wp:docPr descr="Анализа DHCP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9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Анализа DHCP</w:t>
      </w:r>
    </w:p>
    <w:bookmarkEnd w:id="51"/>
    <w:bookmarkStart w:id="55" w:name="fig:009"/>
    <w:p>
      <w:pPr>
        <w:pStyle w:val="CaptionedFigure"/>
      </w:pPr>
      <w:r>
        <w:drawing>
          <wp:inline>
            <wp:extent cx="4267200" cy="896591"/>
            <wp:effectExtent b="0" l="0" r="0" t="0"/>
            <wp:docPr descr="Расширенная топология лабораторного стенда" title="" id="53" name="Picture"/>
            <a:graphic>
              <a:graphicData uri="http://schemas.openxmlformats.org/drawingml/2006/picture">
                <pic:pic>
                  <pic:nvPicPr>
                    <pic:cNvPr descr="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9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топология лабораторного стенда</w:t>
      </w:r>
    </w:p>
    <w:bookmarkEnd w:id="55"/>
    <w:bookmarkStart w:id="59" w:name="fig:010"/>
    <w:p>
      <w:pPr>
        <w:pStyle w:val="CaptionedFigure"/>
      </w:pPr>
      <w:r>
        <w:drawing>
          <wp:inline>
            <wp:extent cx="4267200" cy="4198374"/>
            <wp:effectExtent b="0" l="0" r="0" t="0"/>
            <wp:docPr descr="Настройка IPv6-адресов на интерфейсах VyOS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98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IPv6-адресов на интерфейсах VyOS</w:t>
      </w:r>
    </w:p>
    <w:bookmarkEnd w:id="59"/>
    <w:bookmarkStart w:id="63" w:name="fig:011"/>
    <w:p>
      <w:pPr>
        <w:pStyle w:val="CaptionedFigure"/>
      </w:pPr>
      <w:r>
        <w:drawing>
          <wp:inline>
            <wp:extent cx="4267200" cy="1728875"/>
            <wp:effectExtent b="0" l="0" r="0" t="0"/>
            <wp:docPr descr="Настройка Router Advertisements и DHCPv6 Stateless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28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Router Advertisements и DHCPv6 Stateless</w:t>
      </w:r>
    </w:p>
    <w:bookmarkEnd w:id="63"/>
    <w:bookmarkStart w:id="67" w:name="fig:012"/>
    <w:p>
      <w:pPr>
        <w:pStyle w:val="CaptionedFigure"/>
      </w:pPr>
      <w:r>
        <w:drawing>
          <wp:inline>
            <wp:extent cx="4267200" cy="840116"/>
            <wp:effectExtent b="0" l="0" r="0" t="0"/>
            <wp:docPr descr="Просмотр конфигурации DHCPv4 и DHCPv6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40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конфигурации DHCPv4 и DHCPv6</w:t>
      </w:r>
    </w:p>
    <w:bookmarkEnd w:id="67"/>
    <w:bookmarkStart w:id="71" w:name="fig:013"/>
    <w:p>
      <w:pPr>
        <w:pStyle w:val="CaptionedFigure"/>
      </w:pPr>
      <w:r>
        <w:drawing>
          <wp:inline>
            <wp:extent cx="4267200" cy="3038460"/>
            <wp:effectExtent b="0" l="0" r="0" t="0"/>
            <wp:docPr descr="Проверка IPv6-настроек на PC2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38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IPv6-настроек на PC2</w:t>
      </w:r>
    </w:p>
    <w:bookmarkEnd w:id="71"/>
    <w:bookmarkStart w:id="75" w:name="fig:014"/>
    <w:p>
      <w:pPr>
        <w:pStyle w:val="CaptionedFigure"/>
      </w:pPr>
      <w:r>
        <w:drawing>
          <wp:inline>
            <wp:extent cx="4267200" cy="3503270"/>
            <wp:effectExtent b="0" l="0" r="0" t="0"/>
            <wp:docPr descr="Ping IPv6-адреса маршрутизатора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03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IPv6-адреса маршрутизатора</w:t>
      </w:r>
    </w:p>
    <w:bookmarkEnd w:id="75"/>
    <w:bookmarkStart w:id="79" w:name="fig:015"/>
    <w:p>
      <w:pPr>
        <w:pStyle w:val="CaptionedFigure"/>
      </w:pPr>
      <w:r>
        <w:drawing>
          <wp:inline>
            <wp:extent cx="4267200" cy="2731238"/>
            <wp:effectExtent b="0" l="0" r="0" t="0"/>
            <wp:docPr descr="Получение параметров по DHCPv6 Stateless" title="" id="77" name="Picture"/>
            <a:graphic>
              <a:graphicData uri="http://schemas.openxmlformats.org/drawingml/2006/picture">
                <pic:pic>
                  <pic:nvPicPr>
                    <pic:cNvPr descr="image/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31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параметров по DHCPv6 Stateless</w:t>
      </w:r>
    </w:p>
    <w:bookmarkEnd w:id="79"/>
    <w:bookmarkStart w:id="83" w:name="fig:016"/>
    <w:p>
      <w:pPr>
        <w:pStyle w:val="CaptionedFigure"/>
      </w:pPr>
      <w:r>
        <w:drawing>
          <wp:inline>
            <wp:extent cx="4267200" cy="3199244"/>
            <wp:effectExtent b="0" l="0" r="0" t="0"/>
            <wp:docPr descr="Состояние аренд DHCPv6" title="" id="81" name="Picture"/>
            <a:graphic>
              <a:graphicData uri="http://schemas.openxmlformats.org/drawingml/2006/picture">
                <pic:pic>
                  <pic:nvPicPr>
                    <pic:cNvPr descr="image/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9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аренд DHCPv6</w:t>
      </w:r>
    </w:p>
    <w:bookmarkEnd w:id="83"/>
    <w:bookmarkStart w:id="87" w:name="fig:017"/>
    <w:p>
      <w:pPr>
        <w:pStyle w:val="CaptionedFigure"/>
      </w:pPr>
      <w:r>
        <w:drawing>
          <wp:inline>
            <wp:extent cx="4267200" cy="3225886"/>
            <wp:effectExtent b="0" l="0" r="0" t="0"/>
            <wp:docPr descr="Анализ DHCPv6-пакетов в анализаторе трафика" title="" id="85" name="Picture"/>
            <a:graphic>
              <a:graphicData uri="http://schemas.openxmlformats.org/drawingml/2006/picture">
                <pic:pic>
                  <pic:nvPicPr>
                    <pic:cNvPr descr="image/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25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DHCPv6-пакетов в анализаторе трафика</w:t>
      </w:r>
    </w:p>
    <w:bookmarkEnd w:id="87"/>
    <w:bookmarkStart w:id="91" w:name="fig:018"/>
    <w:p>
      <w:pPr>
        <w:pStyle w:val="CaptionedFigure"/>
      </w:pPr>
      <w:r>
        <w:drawing>
          <wp:inline>
            <wp:extent cx="4267200" cy="3520704"/>
            <wp:effectExtent b="0" l="0" r="0" t="0"/>
            <wp:docPr descr="Настройка DHCPv6 Stateful на VyOS" title="" id="89" name="Picture"/>
            <a:graphic>
              <a:graphicData uri="http://schemas.openxmlformats.org/drawingml/2006/picture">
                <pic:pic>
                  <pic:nvPicPr>
                    <pic:cNvPr descr="image/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0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 Stateful на VyOS</w:t>
      </w:r>
    </w:p>
    <w:bookmarkEnd w:id="91"/>
    <w:bookmarkStart w:id="95" w:name="fig:019"/>
    <w:p>
      <w:pPr>
        <w:pStyle w:val="CaptionedFigure"/>
      </w:pPr>
      <w:r>
        <w:drawing>
          <wp:inline>
            <wp:extent cx="4267200" cy="3538264"/>
            <wp:effectExtent b="0" l="0" r="0" t="0"/>
            <wp:docPr descr="Начальные IPv6-настройки на PC3" title="" id="93" name="Picture"/>
            <a:graphic>
              <a:graphicData uri="http://schemas.openxmlformats.org/drawingml/2006/picture">
                <pic:pic>
                  <pic:nvPicPr>
                    <pic:cNvPr descr="image/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8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Начальные IPv6-настройки на PC3</w:t>
      </w:r>
    </w:p>
    <w:bookmarkEnd w:id="95"/>
    <w:bookmarkStart w:id="99" w:name="fig:020"/>
    <w:p>
      <w:pPr>
        <w:pStyle w:val="CaptionedFigure"/>
      </w:pPr>
      <w:r>
        <w:drawing>
          <wp:inline>
            <wp:extent cx="4267200" cy="3522302"/>
            <wp:effectExtent b="0" l="0" r="0" t="0"/>
            <wp:docPr descr="Получение IPv6-адреса по DHCPv6 Stateful" title="" id="97" name="Picture"/>
            <a:graphic>
              <a:graphicData uri="http://schemas.openxmlformats.org/drawingml/2006/picture">
                <pic:pic>
                  <pic:nvPicPr>
                    <pic:cNvPr descr="image/20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22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Получение IPv6-адреса по DHCPv6 Stateful</w:t>
      </w:r>
    </w:p>
    <w:bookmarkEnd w:id="99"/>
    <w:bookmarkStart w:id="103" w:name="fig:021"/>
    <w:p>
      <w:pPr>
        <w:pStyle w:val="CaptionedFigure"/>
      </w:pPr>
      <w:r>
        <w:drawing>
          <wp:inline>
            <wp:extent cx="4267200" cy="2856966"/>
            <wp:effectExtent b="0" l="0" r="0" t="0"/>
            <wp:docPr descr="Список аренд DHCPv6" title="" id="101" name="Picture"/>
            <a:graphic>
              <a:graphicData uri="http://schemas.openxmlformats.org/drawingml/2006/picture">
                <pic:pic>
                  <pic:nvPicPr>
                    <pic:cNvPr descr="image/2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56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аренд DHCPv6</w:t>
      </w:r>
    </w:p>
    <w:bookmarkEnd w:id="103"/>
    <w:bookmarkStart w:id="107" w:name="fig:022"/>
    <w:p>
      <w:pPr>
        <w:pStyle w:val="CaptionedFigure"/>
      </w:pPr>
      <w:r>
        <w:drawing>
          <wp:inline>
            <wp:extent cx="4267200" cy="3240126"/>
            <wp:effectExtent b="0" l="0" r="0" t="0"/>
            <wp:docPr descr="Анализ DHCPv6-пакетов в анализаторе трафика" title="" id="105" name="Picture"/>
            <a:graphic>
              <a:graphicData uri="http://schemas.openxmlformats.org/drawingml/2006/picture">
                <pic:pic>
                  <pic:nvPicPr>
                    <pic:cNvPr descr="image/2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4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DHCPv6-пакетов в анализаторе трафика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4" Target="media/rId24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Талебу Тенке Франк Устон</dc:creator>
  <dc:language>ru-RU</dc:language>
  <cp:keywords/>
  <dcterms:created xsi:type="dcterms:W3CDTF">2026-03-23T04:42:42Z</dcterms:created>
  <dcterms:modified xsi:type="dcterms:W3CDTF">2026-03-23T04:42:42Z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email">
    <vt:lpwstr>1032224534@pfur.ru</vt:lpwstr>
  </property>
  <property fmtid="{D5CDD505-2E9C-101B-9397-08002B2CF9AE}" pid="11" name="figureTitle">
    <vt:lpwstr>Рис.</vt:lpwstr>
  </property>
  <property fmtid="{D5CDD505-2E9C-101B-9397-08002B2CF9AE}" pid="12" name="fontsize">
    <vt:lpwstr>12pt</vt:lpwstr>
  </property>
  <property fmtid="{D5CDD505-2E9C-101B-9397-08002B2CF9AE}" pid="13" name="header-includes">
    <vt:lpwstr/>
  </property>
  <property fmtid="{D5CDD505-2E9C-101B-9397-08002B2CF9AE}" pid="14" name="indent">
    <vt:lpwstr>True</vt:lpwstr>
  </property>
  <property fmtid="{D5CDD505-2E9C-101B-9397-08002B2CF9AE}" pid="15" name="institute">
    <vt:lpwstr>Российский университет дружбы народов</vt:lpwstr>
  </property>
  <property fmtid="{D5CDD505-2E9C-101B-9397-08002B2CF9AE}" pid="16" name="linestretch">
    <vt:lpwstr>1.5</vt:lpwstr>
  </property>
  <property fmtid="{D5CDD505-2E9C-101B-9397-08002B2CF9AE}" pid="17" name="listingTitle">
    <vt:lpwstr>Листинг</vt:lpwstr>
  </property>
  <property fmtid="{D5CDD505-2E9C-101B-9397-08002B2CF9AE}" pid="18" name="lof">
    <vt:lpwstr>True</vt:lpwstr>
  </property>
  <property fmtid="{D5CDD505-2E9C-101B-9397-08002B2CF9AE}" pid="19" name="lofTitle">
    <vt:lpwstr>Список иллюстраций</vt:lpwstr>
  </property>
  <property fmtid="{D5CDD505-2E9C-101B-9397-08002B2CF9AE}" pid="20" name="lolTitle">
    <vt:lpwstr>Листинги</vt:lpwstr>
  </property>
  <property fmtid="{D5CDD505-2E9C-101B-9397-08002B2CF9AE}" pid="21" name="lot">
    <vt:lpwstr>False</vt:lpwstr>
  </property>
  <property fmtid="{D5CDD505-2E9C-101B-9397-08002B2CF9AE}" pid="22" name="lotTitle">
    <vt:lpwstr>Список таблиц</vt:lpwstr>
  </property>
  <property fmtid="{D5CDD505-2E9C-101B-9397-08002B2CF9AE}" pid="23" name="mainfont">
    <vt:lpwstr>IBM Plex Serif</vt:lpwstr>
  </property>
  <property fmtid="{D5CDD505-2E9C-101B-9397-08002B2CF9AE}" pid="24" name="mainfontoptions">
    <vt:lpwstr>Ligatures=Common,Ligatures=TeX,Scale=0.94</vt:lpwstr>
  </property>
  <property fmtid="{D5CDD505-2E9C-101B-9397-08002B2CF9AE}" pid="25" name="mathfont">
    <vt:lpwstr>STIX Two Math</vt:lpwstr>
  </property>
  <property fmtid="{D5CDD505-2E9C-101B-9397-08002B2CF9AE}" pid="26" name="monofont">
    <vt:lpwstr>IBM Plex Mono</vt:lpwstr>
  </property>
  <property fmtid="{D5CDD505-2E9C-101B-9397-08002B2CF9AE}" pid="27" name="monofontoptions">
    <vt:lpwstr>Scale=MatchLowercase,Scale=0.94,FakeStretch=0.9</vt:lpwstr>
  </property>
  <property fmtid="{D5CDD505-2E9C-101B-9397-08002B2CF9AE}" pid="28" name="papersize">
    <vt:lpwstr>a4</vt:lpwstr>
  </property>
  <property fmtid="{D5CDD505-2E9C-101B-9397-08002B2CF9AE}" pid="29" name="polyglossia-lang">
    <vt:lpwstr/>
  </property>
  <property fmtid="{D5CDD505-2E9C-101B-9397-08002B2CF9AE}" pid="30" name="polyglossia-otherlangs">
    <vt:lpwstr/>
  </property>
  <property fmtid="{D5CDD505-2E9C-101B-9397-08002B2CF9AE}" pid="31" name="romanfont">
    <vt:lpwstr>IBM Plex Serif</vt:lpwstr>
  </property>
  <property fmtid="{D5CDD505-2E9C-101B-9397-08002B2CF9AE}" pid="32" name="romanfontoptions">
    <vt:lpwstr>Ligatures=Common,Ligatures=TeX,Scale=0.94</vt:lpwstr>
  </property>
  <property fmtid="{D5CDD505-2E9C-101B-9397-08002B2CF9AE}" pid="33" name="sansfont">
    <vt:lpwstr>IBM Plex Sans</vt:lpwstr>
  </property>
  <property fmtid="{D5CDD505-2E9C-101B-9397-08002B2CF9AE}" pid="34" name="sansfontoptions">
    <vt:lpwstr>Ligatures=Common,Ligatures=TeX,Scale=MatchLowercase,Scale=0.94</vt:lpwstr>
  </property>
  <property fmtid="{D5CDD505-2E9C-101B-9397-08002B2CF9AE}" pid="35" name="subtitle">
    <vt:lpwstr>Адресация IPv4 и IPv6. Настройка DHCP</vt:lpwstr>
  </property>
  <property fmtid="{D5CDD505-2E9C-101B-9397-08002B2CF9AE}" pid="36" name="tableTitle">
    <vt:lpwstr>Таблица</vt:lpwstr>
  </property>
  <property fmtid="{D5CDD505-2E9C-101B-9397-08002B2CF9AE}" pid="37" name="toc">
    <vt:lpwstr>True</vt:lpwstr>
  </property>
  <property fmtid="{D5CDD505-2E9C-101B-9397-08002B2CF9AE}" pid="38" name="toc-depth">
    <vt:lpwstr>2</vt:lpwstr>
  </property>
  <property fmtid="{D5CDD505-2E9C-101B-9397-08002B2CF9AE}" pid="39" name="toc-title">
    <vt:lpwstr>Содержание</vt:lpwstr>
  </property>
</Properties>
</file>