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7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Адресация IPv4 и IPv6. Настройка маршрутизации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 в среде GNS3.</w:t>
      </w:r>
    </w:p>
    <w:bookmarkEnd w:id="20"/>
    <w:bookmarkEnd w:id="21"/>
    <w:bookmarkStart w:id="15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топология-в-gns3"/>
    <w:p>
      <w:pPr>
        <w:pStyle w:val="Heading2"/>
      </w:pPr>
      <w:r>
        <w:t xml:space="preserve">Топология в GNS3</w:t>
      </w:r>
    </w:p>
    <w:bookmarkStart w:id="25" w:name="fig:001"/>
    <w:p>
      <w:pPr>
        <w:pStyle w:val="CaptionedFigure"/>
      </w:pPr>
      <w:r>
        <w:drawing>
          <wp:inline>
            <wp:extent cx="4533900" cy="2138091"/>
            <wp:effectExtent b="0" l="0" r="0" t="0"/>
            <wp:docPr descr="Топология сети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3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в GNS3</w:t>
      </w:r>
    </w:p>
    <w:bookmarkEnd w:id="25"/>
    <w:bookmarkEnd w:id="26"/>
    <w:bookmarkStart w:id="31" w:name="настройка-ipv6-на-pc1"/>
    <w:p>
      <w:pPr>
        <w:pStyle w:val="Heading2"/>
      </w:pPr>
      <w:r>
        <w:t xml:space="preserve">Настройка IPv6 на PC1</w:t>
      </w:r>
    </w:p>
    <w:bookmarkStart w:id="30" w:name="fig:002"/>
    <w:p>
      <w:pPr>
        <w:pStyle w:val="CaptionedFigure"/>
      </w:pPr>
      <w:r>
        <w:drawing>
          <wp:inline>
            <wp:extent cx="4533900" cy="2918698"/>
            <wp:effectExtent b="0" l="0" r="0" t="0"/>
            <wp:docPr descr="Настройка IPv6 на PC1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1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PC1</w:t>
      </w:r>
    </w:p>
    <w:bookmarkEnd w:id="30"/>
    <w:bookmarkEnd w:id="31"/>
    <w:bookmarkStart w:id="36" w:name="настройка-ipv6-на-pc2"/>
    <w:p>
      <w:pPr>
        <w:pStyle w:val="Heading2"/>
      </w:pPr>
      <w:r>
        <w:t xml:space="preserve">Настройка IPv6 на PC2</w:t>
      </w:r>
    </w:p>
    <w:bookmarkStart w:id="35" w:name="fig:003"/>
    <w:p>
      <w:pPr>
        <w:pStyle w:val="CaptionedFigure"/>
      </w:pPr>
      <w:r>
        <w:drawing>
          <wp:inline>
            <wp:extent cx="4533900" cy="2929701"/>
            <wp:effectExtent b="0" l="0" r="0" t="0"/>
            <wp:docPr descr="Настройка IPv6 на PC2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2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PC2</w:t>
      </w:r>
    </w:p>
    <w:bookmarkEnd w:id="35"/>
    <w:bookmarkEnd w:id="36"/>
    <w:bookmarkStart w:id="41" w:name="подготовка-gw-01"/>
    <w:p>
      <w:pPr>
        <w:pStyle w:val="Heading2"/>
      </w:pPr>
      <w:r>
        <w:t xml:space="preserve">Подготовка gw-01</w:t>
      </w:r>
    </w:p>
    <w:bookmarkStart w:id="40" w:name="fig:004"/>
    <w:p>
      <w:pPr>
        <w:pStyle w:val="CaptionedFigure"/>
      </w:pPr>
      <w:r>
        <w:drawing>
          <wp:inline>
            <wp:extent cx="4533900" cy="2876492"/>
            <wp:effectExtent b="0" l="0" r="0" t="0"/>
            <wp:docPr descr="Подготовка gw-01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7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gw-01</w:t>
      </w:r>
    </w:p>
    <w:bookmarkEnd w:id="40"/>
    <w:bookmarkEnd w:id="41"/>
    <w:bookmarkStart w:id="46" w:name="адресация-gw-01"/>
    <w:p>
      <w:pPr>
        <w:pStyle w:val="Heading2"/>
      </w:pPr>
      <w:r>
        <w:t xml:space="preserve">Адресация gw-01</w:t>
      </w:r>
    </w:p>
    <w:bookmarkStart w:id="45" w:name="fig:005"/>
    <w:p>
      <w:pPr>
        <w:pStyle w:val="CaptionedFigure"/>
      </w:pPr>
      <w:r>
        <w:drawing>
          <wp:inline>
            <wp:extent cx="4533900" cy="2840598"/>
            <wp:effectExtent b="0" l="0" r="0" t="0"/>
            <wp:docPr descr="Настройка интерфейсов gw-01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4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gw-01</w:t>
      </w:r>
    </w:p>
    <w:bookmarkEnd w:id="45"/>
    <w:bookmarkEnd w:id="46"/>
    <w:bookmarkStart w:id="51" w:name="подготовка-gw-02"/>
    <w:p>
      <w:pPr>
        <w:pStyle w:val="Heading2"/>
      </w:pPr>
      <w:r>
        <w:t xml:space="preserve">Подготовка gw-02</w:t>
      </w:r>
    </w:p>
    <w:bookmarkStart w:id="50" w:name="fig:006"/>
    <w:p>
      <w:pPr>
        <w:pStyle w:val="CaptionedFigure"/>
      </w:pPr>
      <w:r>
        <w:drawing>
          <wp:inline>
            <wp:extent cx="4533900" cy="2693271"/>
            <wp:effectExtent b="0" l="0" r="0" t="0"/>
            <wp:docPr descr="Подготовка gw-02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9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gw-02</w:t>
      </w:r>
    </w:p>
    <w:bookmarkEnd w:id="50"/>
    <w:bookmarkEnd w:id="51"/>
    <w:bookmarkStart w:id="56" w:name="адресация-gw-02"/>
    <w:p>
      <w:pPr>
        <w:pStyle w:val="Heading2"/>
      </w:pPr>
      <w:r>
        <w:t xml:space="preserve">Адресация gw-02</w:t>
      </w:r>
    </w:p>
    <w:bookmarkStart w:id="55" w:name="fig:007"/>
    <w:p>
      <w:pPr>
        <w:pStyle w:val="CaptionedFigure"/>
      </w:pPr>
      <w:r>
        <w:drawing>
          <wp:inline>
            <wp:extent cx="4533900" cy="2870333"/>
            <wp:effectExtent b="0" l="0" r="0" t="0"/>
            <wp:docPr descr="Настройка интерфейсов gw-02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7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gw-02</w:t>
      </w:r>
    </w:p>
    <w:bookmarkEnd w:id="55"/>
    <w:bookmarkEnd w:id="56"/>
    <w:bookmarkStart w:id="61" w:name="подготовка-и-адресация-gw-03"/>
    <w:p>
      <w:pPr>
        <w:pStyle w:val="Heading2"/>
      </w:pPr>
      <w:r>
        <w:t xml:space="preserve">Подготовка и адресация gw-03</w:t>
      </w:r>
    </w:p>
    <w:bookmarkStart w:id="60" w:name="fig:008"/>
    <w:p>
      <w:pPr>
        <w:pStyle w:val="CaptionedFigure"/>
      </w:pPr>
      <w:r>
        <w:drawing>
          <wp:inline>
            <wp:extent cx="4533900" cy="3353667"/>
            <wp:effectExtent b="0" l="0" r="0" t="0"/>
            <wp:docPr descr="Подготовка gw-03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53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gw-03</w:t>
      </w:r>
    </w:p>
    <w:bookmarkEnd w:id="60"/>
    <w:bookmarkEnd w:id="61"/>
    <w:bookmarkStart w:id="66" w:name="подготовка-и-адресация-gw-03-1"/>
    <w:p>
      <w:pPr>
        <w:pStyle w:val="Heading2"/>
      </w:pPr>
      <w:r>
        <w:t xml:space="preserve">Подготовка и адресация gw-03</w:t>
      </w:r>
    </w:p>
    <w:bookmarkStart w:id="65" w:name="fig:009"/>
    <w:p>
      <w:pPr>
        <w:pStyle w:val="CaptionedFigure"/>
      </w:pPr>
      <w:r>
        <w:drawing>
          <wp:inline>
            <wp:extent cx="4533900" cy="4389139"/>
            <wp:effectExtent b="0" l="0" r="0" t="0"/>
            <wp:docPr descr="Настройка интерфейсов gw-03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389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gw-03</w:t>
      </w:r>
    </w:p>
    <w:bookmarkEnd w:id="65"/>
    <w:bookmarkEnd w:id="66"/>
    <w:bookmarkStart w:id="71" w:name="проверка-ra-на-оконечных-устройствах"/>
    <w:p>
      <w:pPr>
        <w:pStyle w:val="Heading2"/>
      </w:pPr>
      <w:r>
        <w:t xml:space="preserve">Проверка RA на оконечных устройствах</w:t>
      </w:r>
    </w:p>
    <w:bookmarkStart w:id="70" w:name="fig:010"/>
    <w:p>
      <w:pPr>
        <w:pStyle w:val="CaptionedFigure"/>
      </w:pPr>
      <w:r>
        <w:drawing>
          <wp:inline>
            <wp:extent cx="4533900" cy="3002177"/>
            <wp:effectExtent b="0" l="0" r="0" t="0"/>
            <wp:docPr descr="Проверка IPv6 на PC1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02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на PC1</w:t>
      </w:r>
    </w:p>
    <w:bookmarkEnd w:id="70"/>
    <w:bookmarkEnd w:id="71"/>
    <w:bookmarkStart w:id="76" w:name="проверка-ra-на-оконечных-устройствах-1"/>
    <w:p>
      <w:pPr>
        <w:pStyle w:val="Heading2"/>
      </w:pPr>
      <w:r>
        <w:t xml:space="preserve">Проверка RA на оконечных устройствах</w:t>
      </w:r>
    </w:p>
    <w:bookmarkStart w:id="75" w:name="fig:011"/>
    <w:p>
      <w:pPr>
        <w:pStyle w:val="CaptionedFigure"/>
      </w:pPr>
      <w:r>
        <w:drawing>
          <wp:inline>
            <wp:extent cx="4533900" cy="2905817"/>
            <wp:effectExtent b="0" l="0" r="0" t="0"/>
            <wp:docPr descr="Проверка IPv6 на PC2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05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на PC2</w:t>
      </w:r>
    </w:p>
    <w:bookmarkEnd w:id="75"/>
    <w:bookmarkEnd w:id="76"/>
    <w:bookmarkStart w:id="81" w:name="ping-с-gw-01-до-настройки-маршрутизации"/>
    <w:p>
      <w:pPr>
        <w:pStyle w:val="Heading2"/>
      </w:pPr>
      <w:r>
        <w:t xml:space="preserve">Ping с gw-01 до настройки маршрутизации</w:t>
      </w:r>
    </w:p>
    <w:bookmarkStart w:id="80" w:name="fig:012"/>
    <w:p>
      <w:pPr>
        <w:pStyle w:val="CaptionedFigure"/>
      </w:pPr>
      <w:r>
        <w:drawing>
          <wp:inline>
            <wp:extent cx="4533900" cy="2877151"/>
            <wp:effectExtent b="0" l="0" r="0" t="0"/>
            <wp:docPr descr="Проверка связности с gw-01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77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с gw-01</w:t>
      </w:r>
    </w:p>
    <w:bookmarkEnd w:id="80"/>
    <w:bookmarkEnd w:id="81"/>
    <w:bookmarkStart w:id="86" w:name="анализ-трафика-до-rip-gw-01-gw-03"/>
    <w:p>
      <w:pPr>
        <w:pStyle w:val="Heading2"/>
      </w:pPr>
      <w:r>
        <w:t xml:space="preserve">Анализ трафика до RIP (gw-01 ↔ gw-03)</w:t>
      </w:r>
    </w:p>
    <w:bookmarkStart w:id="85" w:name="fig:013"/>
    <w:p>
      <w:pPr>
        <w:pStyle w:val="CaptionedFigure"/>
      </w:pPr>
      <w:r>
        <w:drawing>
          <wp:inline>
            <wp:extent cx="4533900" cy="2877804"/>
            <wp:effectExtent b="0" l="0" r="0" t="0"/>
            <wp:docPr descr="Анализ трафика до RIP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7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трафика до RIP</w:t>
      </w:r>
    </w:p>
    <w:bookmarkEnd w:id="85"/>
    <w:bookmarkEnd w:id="86"/>
    <w:bookmarkStart w:id="91" w:name="настройка-rip-на-gw-01"/>
    <w:p>
      <w:pPr>
        <w:pStyle w:val="Heading2"/>
      </w:pPr>
      <w:r>
        <w:t xml:space="preserve">Настройка RIP на gw-01</w:t>
      </w:r>
    </w:p>
    <w:bookmarkStart w:id="90" w:name="fig:014"/>
    <w:p>
      <w:pPr>
        <w:pStyle w:val="CaptionedFigure"/>
      </w:pPr>
      <w:r>
        <w:drawing>
          <wp:inline>
            <wp:extent cx="4533900" cy="2886446"/>
            <wp:effectExtent b="0" l="0" r="0" t="0"/>
            <wp:docPr descr="RIP на gw-01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8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на gw-01</w:t>
      </w:r>
    </w:p>
    <w:bookmarkEnd w:id="90"/>
    <w:bookmarkEnd w:id="91"/>
    <w:bookmarkStart w:id="96" w:name="настройка-rip-на-gw-02"/>
    <w:p>
      <w:pPr>
        <w:pStyle w:val="Heading2"/>
      </w:pPr>
      <w:r>
        <w:t xml:space="preserve">Настройка RIP на gw-02</w:t>
      </w:r>
    </w:p>
    <w:bookmarkStart w:id="95" w:name="fig:015"/>
    <w:p>
      <w:pPr>
        <w:pStyle w:val="CaptionedFigure"/>
      </w:pPr>
      <w:r>
        <w:drawing>
          <wp:inline>
            <wp:extent cx="4533900" cy="3618217"/>
            <wp:effectExtent b="0" l="0" r="0" t="0"/>
            <wp:docPr descr="RIP на gw-02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18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на gw-02</w:t>
      </w:r>
    </w:p>
    <w:bookmarkEnd w:id="95"/>
    <w:bookmarkEnd w:id="96"/>
    <w:bookmarkStart w:id="101" w:name="настройка-rip-на-gw-03"/>
    <w:p>
      <w:pPr>
        <w:pStyle w:val="Heading2"/>
      </w:pPr>
      <w:r>
        <w:t xml:space="preserve">Настройка RIP на gw-03</w:t>
      </w:r>
    </w:p>
    <w:bookmarkStart w:id="100" w:name="fig:016"/>
    <w:p>
      <w:pPr>
        <w:pStyle w:val="CaptionedFigure"/>
      </w:pPr>
      <w:r>
        <w:drawing>
          <wp:inline>
            <wp:extent cx="4533900" cy="3588805"/>
            <wp:effectExtent b="0" l="0" r="0" t="0"/>
            <wp:docPr descr="RIP на gw-03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88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на gw-03</w:t>
      </w:r>
    </w:p>
    <w:bookmarkEnd w:id="100"/>
    <w:bookmarkEnd w:id="101"/>
    <w:bookmarkStart w:id="106" w:name="проверка-связности-после-включения-rip"/>
    <w:p>
      <w:pPr>
        <w:pStyle w:val="Heading2"/>
      </w:pPr>
      <w:r>
        <w:t xml:space="preserve">Проверка связности после включения RIP</w:t>
      </w:r>
    </w:p>
    <w:bookmarkStart w:id="105" w:name="fig:017"/>
    <w:p>
      <w:pPr>
        <w:pStyle w:val="CaptionedFigure"/>
      </w:pPr>
      <w:r>
        <w:drawing>
          <wp:inline>
            <wp:extent cx="4533900" cy="4372387"/>
            <wp:effectExtent b="0" l="0" r="0" t="0"/>
            <wp:docPr descr="Проверка после RIP" title="" id="103" name="Picture"/>
            <a:graphic>
              <a:graphicData uri="http://schemas.openxmlformats.org/drawingml/2006/picture">
                <pic:pic>
                  <pic:nvPicPr>
                    <pic:cNvPr descr="image/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37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после RIP</w:t>
      </w:r>
    </w:p>
    <w:bookmarkEnd w:id="105"/>
    <w:bookmarkEnd w:id="106"/>
    <w:bookmarkStart w:id="111" w:name="анализ-трафика-после-rip"/>
    <w:p>
      <w:pPr>
        <w:pStyle w:val="Heading2"/>
      </w:pPr>
      <w:r>
        <w:t xml:space="preserve">Анализ трафика после RIP</w:t>
      </w:r>
    </w:p>
    <w:bookmarkStart w:id="110" w:name="fig:018"/>
    <w:p>
      <w:pPr>
        <w:pStyle w:val="CaptionedFigure"/>
      </w:pPr>
      <w:r>
        <w:drawing>
          <wp:inline>
            <wp:extent cx="4533900" cy="2850655"/>
            <wp:effectExtent b="0" l="0" r="0" t="0"/>
            <wp:docPr descr="Трафик ICMP и RIP" title="" id="108" name="Picture"/>
            <a:graphic>
              <a:graphicData uri="http://schemas.openxmlformats.org/drawingml/2006/picture">
                <pic:pic>
                  <pic:nvPicPr>
                    <pic:cNvPr descr="image/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5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Трафик ICMP и RIP</w:t>
      </w:r>
    </w:p>
    <w:bookmarkEnd w:id="110"/>
    <w:bookmarkEnd w:id="111"/>
    <w:bookmarkStart w:id="116" w:name="туннель-sit-на-gw-01"/>
    <w:p>
      <w:pPr>
        <w:pStyle w:val="Heading2"/>
      </w:pPr>
      <w:r>
        <w:t xml:space="preserve">Туннель SIT на gw-01</w:t>
      </w:r>
    </w:p>
    <w:bookmarkStart w:id="115" w:name="fig:019"/>
    <w:p>
      <w:pPr>
        <w:pStyle w:val="CaptionedFigure"/>
      </w:pPr>
      <w:r>
        <w:drawing>
          <wp:inline>
            <wp:extent cx="4533900" cy="2880280"/>
            <wp:effectExtent b="0" l="0" r="0" t="0"/>
            <wp:docPr descr="Туннель SIT на gw-01" title="" id="113" name="Picture"/>
            <a:graphic>
              <a:graphicData uri="http://schemas.openxmlformats.org/drawingml/2006/picture">
                <pic:pic>
                  <pic:nvPicPr>
                    <pic:cNvPr descr="image/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8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Туннель SIT на gw-01</w:t>
      </w:r>
    </w:p>
    <w:bookmarkEnd w:id="115"/>
    <w:bookmarkEnd w:id="116"/>
    <w:bookmarkStart w:id="121" w:name="туннель-sit-на-gw-02"/>
    <w:p>
      <w:pPr>
        <w:pStyle w:val="Heading2"/>
      </w:pPr>
      <w:r>
        <w:t xml:space="preserve">Туннель SIT на gw-02</w:t>
      </w:r>
    </w:p>
    <w:bookmarkStart w:id="120" w:name="fig:020"/>
    <w:p>
      <w:pPr>
        <w:pStyle w:val="CaptionedFigure"/>
      </w:pPr>
      <w:r>
        <w:drawing>
          <wp:inline>
            <wp:extent cx="4533900" cy="4418239"/>
            <wp:effectExtent b="0" l="0" r="0" t="0"/>
            <wp:docPr descr="Туннель SIT на gw-02" title="" id="118" name="Picture"/>
            <a:graphic>
              <a:graphicData uri="http://schemas.openxmlformats.org/drawingml/2006/picture">
                <pic:pic>
                  <pic:nvPicPr>
                    <pic:cNvPr descr="image/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41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Туннель SIT на gw-02</w:t>
      </w:r>
    </w:p>
    <w:bookmarkEnd w:id="120"/>
    <w:bookmarkEnd w:id="121"/>
    <w:bookmarkStart w:id="126" w:name="статическая-маршрутизация-ipv6"/>
    <w:p>
      <w:pPr>
        <w:pStyle w:val="Heading2"/>
      </w:pPr>
      <w:r>
        <w:t xml:space="preserve">Статическая маршрутизация IPv6</w:t>
      </w:r>
    </w:p>
    <w:bookmarkStart w:id="125" w:name="fig:021"/>
    <w:p>
      <w:pPr>
        <w:pStyle w:val="CaptionedFigure"/>
      </w:pPr>
      <w:r>
        <w:drawing>
          <wp:inline>
            <wp:extent cx="4533900" cy="1972981"/>
            <wp:effectExtent b="0" l="0" r="0" t="0"/>
            <wp:docPr descr="Статический IPv6-маршрут на gw-01" title="" id="123" name="Picture"/>
            <a:graphic>
              <a:graphicData uri="http://schemas.openxmlformats.org/drawingml/2006/picture">
                <pic:pic>
                  <pic:nvPicPr>
                    <pic:cNvPr descr="image/2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72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Статический IPv6-маршрут на gw-01</w:t>
      </w:r>
    </w:p>
    <w:bookmarkEnd w:id="125"/>
    <w:bookmarkEnd w:id="126"/>
    <w:bookmarkStart w:id="131" w:name="статическая-маршрутизация-ipv6-1"/>
    <w:p>
      <w:pPr>
        <w:pStyle w:val="Heading2"/>
      </w:pPr>
      <w:r>
        <w:t xml:space="preserve">Статическая маршрутизация IPv6</w:t>
      </w:r>
    </w:p>
    <w:bookmarkStart w:id="130" w:name="fig:022"/>
    <w:p>
      <w:pPr>
        <w:pStyle w:val="CaptionedFigure"/>
      </w:pPr>
      <w:r>
        <w:drawing>
          <wp:inline>
            <wp:extent cx="4533900" cy="3602939"/>
            <wp:effectExtent b="0" l="0" r="0" t="0"/>
            <wp:docPr descr="Статический IPv6-маршрут на gw-02" title="" id="128" name="Picture"/>
            <a:graphic>
              <a:graphicData uri="http://schemas.openxmlformats.org/drawingml/2006/picture">
                <pic:pic>
                  <pic:nvPicPr>
                    <pic:cNvPr descr="image/2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02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Статический IPv6-маршрут на gw-02</w:t>
      </w:r>
    </w:p>
    <w:bookmarkEnd w:id="130"/>
    <w:bookmarkEnd w:id="131"/>
    <w:bookmarkStart w:id="136" w:name="проверка-с-pc1-ping-e-trace-до-pc2"/>
    <w:p>
      <w:pPr>
        <w:pStyle w:val="Heading2"/>
      </w:pPr>
      <w:r>
        <w:t xml:space="preserve">Проверка с PC1: ping e trace до PC2</w:t>
      </w:r>
    </w:p>
    <w:bookmarkStart w:id="135" w:name="fig:023"/>
    <w:p>
      <w:pPr>
        <w:pStyle w:val="CaptionedFigure"/>
      </w:pPr>
      <w:r>
        <w:drawing>
          <wp:inline>
            <wp:extent cx="4533900" cy="2913184"/>
            <wp:effectExtent b="0" l="0" r="0" t="0"/>
            <wp:docPr descr="PC1 → PC2: ping/trace" title="" id="133" name="Picture"/>
            <a:graphic>
              <a:graphicData uri="http://schemas.openxmlformats.org/drawingml/2006/picture">
                <pic:pic>
                  <pic:nvPicPr>
                    <pic:cNvPr descr="image/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1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PC1 → PC2: ping/trace</w:t>
      </w:r>
    </w:p>
    <w:bookmarkEnd w:id="135"/>
    <w:bookmarkEnd w:id="136"/>
    <w:bookmarkStart w:id="141" w:name="проверка-с-pc2-ping-e-trace-до-pc1"/>
    <w:p>
      <w:pPr>
        <w:pStyle w:val="Heading2"/>
      </w:pPr>
      <w:r>
        <w:t xml:space="preserve">Проверка с PC2: ping e trace до PC1</w:t>
      </w:r>
    </w:p>
    <w:bookmarkStart w:id="140" w:name="fig:024"/>
    <w:p>
      <w:pPr>
        <w:pStyle w:val="CaptionedFigure"/>
      </w:pPr>
      <w:r>
        <w:drawing>
          <wp:inline>
            <wp:extent cx="4533900" cy="1277068"/>
            <wp:effectExtent b="0" l="0" r="0" t="0"/>
            <wp:docPr descr="PC2 → PC1: ping/trace" title="" id="138" name="Picture"/>
            <a:graphic>
              <a:graphicData uri="http://schemas.openxmlformats.org/drawingml/2006/picture">
                <pic:pic>
                  <pic:nvPicPr>
                    <pic:cNvPr descr="image/24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77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PC2 → PC1: ping/trace</w:t>
      </w:r>
    </w:p>
    <w:bookmarkEnd w:id="140"/>
    <w:bookmarkEnd w:id="141"/>
    <w:bookmarkStart w:id="146" w:name="трафик-ipv6-при-передаче-через-ipv4"/>
    <w:p>
      <w:pPr>
        <w:pStyle w:val="Heading2"/>
      </w:pPr>
      <w:r>
        <w:t xml:space="preserve">Трафик IPv6 при передаче через IPv4</w:t>
      </w:r>
    </w:p>
    <w:bookmarkStart w:id="145" w:name="fig:025"/>
    <w:p>
      <w:pPr>
        <w:pStyle w:val="CaptionedFigure"/>
      </w:pPr>
      <w:r>
        <w:drawing>
          <wp:inline>
            <wp:extent cx="4533900" cy="2880280"/>
            <wp:effectExtent b="0" l="0" r="0" t="0"/>
            <wp:docPr descr="Трафик при работе туннеля" title="" id="143" name="Picture"/>
            <a:graphic>
              <a:graphicData uri="http://schemas.openxmlformats.org/drawingml/2006/picture">
                <pic:pic>
                  <pic:nvPicPr>
                    <pic:cNvPr descr="image/25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8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Трафик при работе туннеля</w:t>
      </w:r>
    </w:p>
    <w:bookmarkEnd w:id="145"/>
    <w:bookmarkEnd w:id="146"/>
    <w:bookmarkStart w:id="151" w:name="X34feaea19b94f1739c500202e4bf0efb4e11de8"/>
    <w:p>
      <w:pPr>
        <w:pStyle w:val="Heading2"/>
      </w:pPr>
      <w:r>
        <w:t xml:space="preserve">Где видна информация о прохождении через туннель</w:t>
      </w:r>
    </w:p>
    <w:bookmarkStart w:id="150" w:name="fig:026"/>
    <w:p>
      <w:pPr>
        <w:pStyle w:val="CaptionedFigure"/>
      </w:pPr>
      <w:r>
        <w:drawing>
          <wp:inline>
            <wp:extent cx="4533900" cy="2822121"/>
            <wp:effectExtent b="0" l="0" r="0" t="0"/>
            <wp:docPr descr="Инкапсуляция IPv6 em IPv4" title="" id="148" name="Picture"/>
            <a:graphic>
              <a:graphicData uri="http://schemas.openxmlformats.org/drawingml/2006/picture">
                <pic:pic>
                  <pic:nvPicPr>
                    <pic:cNvPr descr="image/26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2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Инкапсуляция IPv6 em IPv4</w:t>
      </w:r>
    </w:p>
    <w:bookmarkEnd w:id="150"/>
    <w:bookmarkEnd w:id="151"/>
    <w:bookmarkEnd w:id="152"/>
    <w:bookmarkStart w:id="154" w:name="выводы-по-trabalho"/>
    <w:p>
      <w:pPr>
        <w:pStyle w:val="Heading1"/>
      </w:pPr>
      <w:r>
        <w:t xml:space="preserve">Выводы по trabalho</w:t>
      </w:r>
    </w:p>
    <w:bookmarkStart w:id="15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GNS3 настроена сеть с VyOS и VPCS, выполнена адресация IPv4/IPv6 и проведена проверка связности. Динамическая маршрутизация IPv4 (RIP) обеспечила доступность удалённых IPv4-сетей. Туннель SIT и статические маршруты IPv6 обеспечили обмен трафиком между удалёнными IPv6-сегментами. Анализ Wireshark подтвердил обмен ARP/ICMP/RIP и наличие инкапсуляции IPv6-пакетов внутри IPv4 при передаче через туннель.</w:t>
      </w:r>
    </w:p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7" Target="media/rId27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Талебу Тенке Франк Устон</dc:creator>
  <dc:language>ru-RU</dc:language>
  <cp:keywords/>
  <dcterms:created xsi:type="dcterms:W3CDTF">2026-03-23T05:40:17Z</dcterms:created>
  <dcterms:modified xsi:type="dcterms:W3CDTF">2026-03-23T05:40:17Z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Адресация IPv4 и IPv6. Настройка маршрутизации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