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4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8</w:t>
      </w:r>
    </w:p>
    <w:p>
      <w:pPr>
        <w:pStyle w:val="Subtitle"/>
      </w:pPr>
      <w:r>
        <w:t xml:space="preserve">Адресация IPv4 и IPv6. Настройка маршрутизации</w:t>
      </w:r>
    </w:p>
    <w:p>
      <w:pPr>
        <w:pStyle w:val="Author"/>
      </w:pPr>
      <w:r>
        <w:t xml:space="preserve">Талебу Тенке Франк Устон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3" w:name="fig:001"/>
    <w:p>
      <w:pPr>
        <w:pStyle w:val="CaptionedFigure"/>
      </w:pPr>
      <w:r>
        <w:drawing>
          <wp:inline>
            <wp:extent cx="4267200" cy="2012321"/>
            <wp:effectExtent b="0" l="0" r="0" t="0"/>
            <wp:docPr descr="Рис. 1: Топология сети в GNS3" title="" id="21" name="Picture"/>
            <a:graphic>
              <a:graphicData uri="http://schemas.openxmlformats.org/drawingml/2006/picture">
                <pic:pic>
                  <pic:nvPicPr>
                    <pic:cNvPr descr="image/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в GNS3</w:t>
      </w:r>
    </w:p>
    <w:bookmarkEnd w:id="23"/>
    <w:bookmarkStart w:id="27" w:name="fig:002"/>
    <w:p>
      <w:pPr>
        <w:pStyle w:val="CaptionedFigure"/>
      </w:pPr>
      <w:r>
        <w:drawing>
          <wp:inline>
            <wp:extent cx="4267200" cy="2747010"/>
            <wp:effectExtent b="0" l="0" r="0" t="0"/>
            <wp:docPr descr="Рис. 2: Настройка IPv6 на PC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7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IPv6 на PC1</w:t>
      </w:r>
    </w:p>
    <w:bookmarkEnd w:id="27"/>
    <w:bookmarkStart w:id="31" w:name="fig:003"/>
    <w:p>
      <w:pPr>
        <w:pStyle w:val="CaptionedFigure"/>
      </w:pPr>
      <w:r>
        <w:drawing>
          <wp:inline>
            <wp:extent cx="4267200" cy="2757366"/>
            <wp:effectExtent b="0" l="0" r="0" t="0"/>
            <wp:docPr descr="Рис. 3: Настройка IPv6 на PC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5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IPv6 на PC2</w:t>
      </w:r>
    </w:p>
    <w:bookmarkEnd w:id="31"/>
    <w:bookmarkStart w:id="35" w:name="fig:004"/>
    <w:p>
      <w:pPr>
        <w:pStyle w:val="CaptionedFigure"/>
      </w:pPr>
      <w:r>
        <w:drawing>
          <wp:inline>
            <wp:extent cx="4267200" cy="2707287"/>
            <wp:effectExtent b="0" l="0" r="0" t="0"/>
            <wp:docPr descr="Рис. 4: Изменение имени и подготовка gw-01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Изменение имени и подготовка gw-01</w:t>
      </w:r>
    </w:p>
    <w:bookmarkEnd w:id="35"/>
    <w:bookmarkStart w:id="39" w:name="fig:005"/>
    <w:p>
      <w:pPr>
        <w:pStyle w:val="CaptionedFigure"/>
      </w:pPr>
      <w:r>
        <w:drawing>
          <wp:inline>
            <wp:extent cx="4267200" cy="2673504"/>
            <wp:effectExtent b="0" l="0" r="0" t="0"/>
            <wp:docPr descr="Рис. 5: Настройка интерфейсов gw-01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73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gw-01</w:t>
      </w:r>
    </w:p>
    <w:bookmarkEnd w:id="39"/>
    <w:bookmarkStart w:id="43" w:name="fig:006"/>
    <w:p>
      <w:pPr>
        <w:pStyle w:val="CaptionedFigure"/>
      </w:pPr>
      <w:r>
        <w:drawing>
          <wp:inline>
            <wp:extent cx="4267200" cy="2534844"/>
            <wp:effectExtent b="0" l="0" r="0" t="0"/>
            <wp:docPr descr="Рис. 6: Изменение имени gw-02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3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Изменение имени gw-02</w:t>
      </w:r>
    </w:p>
    <w:bookmarkEnd w:id="43"/>
    <w:bookmarkStart w:id="47" w:name="fig:007"/>
    <w:p>
      <w:pPr>
        <w:pStyle w:val="CaptionedFigure"/>
      </w:pPr>
      <w:r>
        <w:drawing>
          <wp:inline>
            <wp:extent cx="4267200" cy="2701490"/>
            <wp:effectExtent b="0" l="0" r="0" t="0"/>
            <wp:docPr descr="Рис. 7: Настройка интерфейсов gw-02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1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gw-02</w:t>
      </w:r>
    </w:p>
    <w:bookmarkEnd w:id="47"/>
    <w:bookmarkStart w:id="51" w:name="fig:008"/>
    <w:p>
      <w:pPr>
        <w:pStyle w:val="CaptionedFigure"/>
      </w:pPr>
      <w:r>
        <w:drawing>
          <wp:inline>
            <wp:extent cx="4267200" cy="3156392"/>
            <wp:effectExtent b="0" l="0" r="0" t="0"/>
            <wp:docPr descr="Рис. 8: Изменение имени gw-03" title="" id="49" name="Picture"/>
            <a:graphic>
              <a:graphicData uri="http://schemas.openxmlformats.org/drawingml/2006/picture">
                <pic:pic>
                  <pic:nvPicPr>
                    <pic:cNvPr descr="image/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5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Изменение имени gw-03</w:t>
      </w:r>
    </w:p>
    <w:bookmarkEnd w:id="51"/>
    <w:bookmarkStart w:id="55" w:name="fig:009"/>
    <w:p>
      <w:pPr>
        <w:pStyle w:val="CaptionedFigure"/>
      </w:pPr>
      <w:r>
        <w:drawing>
          <wp:inline>
            <wp:extent cx="4267200" cy="4130954"/>
            <wp:effectExtent b="0" l="0" r="0" t="0"/>
            <wp:docPr descr="Рис. 9: Настройка интерфейсов gw-03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3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gw-03</w:t>
      </w:r>
    </w:p>
    <w:bookmarkEnd w:id="55"/>
    <w:bookmarkStart w:id="59" w:name="fig:010"/>
    <w:p>
      <w:pPr>
        <w:pStyle w:val="CaptionedFigure"/>
      </w:pPr>
      <w:r>
        <w:drawing>
          <wp:inline>
            <wp:extent cx="4267200" cy="2825578"/>
            <wp:effectExtent b="0" l="0" r="0" t="0"/>
            <wp:docPr descr="Рис. 10: Проверка IPv6 на PC1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25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IPv6 на PC1</w:t>
      </w:r>
    </w:p>
    <w:bookmarkEnd w:id="59"/>
    <w:bookmarkStart w:id="63" w:name="fig:011"/>
    <w:p>
      <w:pPr>
        <w:pStyle w:val="CaptionedFigure"/>
      </w:pPr>
      <w:r>
        <w:drawing>
          <wp:inline>
            <wp:extent cx="4267200" cy="2734887"/>
            <wp:effectExtent b="0" l="0" r="0" t="0"/>
            <wp:docPr descr="Рис. 11: Проверка IPv6 на PC2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3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IPv6 на PC2</w:t>
      </w:r>
    </w:p>
    <w:bookmarkEnd w:id="63"/>
    <w:bookmarkStart w:id="67" w:name="fig:012"/>
    <w:p>
      <w:pPr>
        <w:pStyle w:val="CaptionedFigure"/>
      </w:pPr>
      <w:r>
        <w:drawing>
          <wp:inline>
            <wp:extent cx="4267200" cy="2707907"/>
            <wp:effectExtent b="0" l="0" r="0" t="0"/>
            <wp:docPr descr="Рис. 12: Проверка связности с gw-01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7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Проверка связности с gw-01</w:t>
      </w:r>
    </w:p>
    <w:bookmarkEnd w:id="67"/>
    <w:bookmarkStart w:id="71" w:name="fig:013"/>
    <w:p>
      <w:pPr>
        <w:pStyle w:val="CaptionedFigure"/>
      </w:pPr>
      <w:r>
        <w:drawing>
          <wp:inline>
            <wp:extent cx="4267200" cy="2708522"/>
            <wp:effectExtent b="0" l="0" r="0" t="0"/>
            <wp:docPr descr="Рис. 13: Анализ трафика между маршрутизаторами" title="" id="69" name="Picture"/>
            <a:graphic>
              <a:graphicData uri="http://schemas.openxmlformats.org/drawingml/2006/picture">
                <pic:pic>
                  <pic:nvPicPr>
                    <pic:cNvPr descr="image/1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0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Анализ трафика между маршрутизаторами</w:t>
      </w:r>
    </w:p>
    <w:bookmarkEnd w:id="71"/>
    <w:bookmarkStart w:id="75" w:name="fig:014"/>
    <w:p>
      <w:pPr>
        <w:pStyle w:val="CaptionedFigure"/>
      </w:pPr>
      <w:r>
        <w:drawing>
          <wp:inline>
            <wp:extent cx="4267200" cy="2716655"/>
            <wp:effectExtent b="0" l="0" r="0" t="0"/>
            <wp:docPr descr="Рис. 14: Настройка RIP на gw-01" title="" id="73" name="Picture"/>
            <a:graphic>
              <a:graphicData uri="http://schemas.openxmlformats.org/drawingml/2006/picture">
                <pic:pic>
                  <pic:nvPicPr>
                    <pic:cNvPr descr="image/1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RIP на gw-01</w:t>
      </w:r>
    </w:p>
    <w:bookmarkEnd w:id="75"/>
    <w:bookmarkStart w:id="79" w:name="fig:015"/>
    <w:p>
      <w:pPr>
        <w:pStyle w:val="CaptionedFigure"/>
      </w:pPr>
      <w:r>
        <w:drawing>
          <wp:inline>
            <wp:extent cx="4267200" cy="3405381"/>
            <wp:effectExtent b="0" l="0" r="0" t="0"/>
            <wp:docPr descr="Рис. 15: Настройка RIP на gw-02" title="" id="77" name="Picture"/>
            <a:graphic>
              <a:graphicData uri="http://schemas.openxmlformats.org/drawingml/2006/picture">
                <pic:pic>
                  <pic:nvPicPr>
                    <pic:cNvPr descr="image/1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0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RIP на gw-02</w:t>
      </w:r>
    </w:p>
    <w:bookmarkEnd w:id="79"/>
    <w:bookmarkStart w:id="83" w:name="fig:016"/>
    <w:p>
      <w:pPr>
        <w:pStyle w:val="CaptionedFigure"/>
      </w:pPr>
      <w:r>
        <w:drawing>
          <wp:inline>
            <wp:extent cx="4267200" cy="3377699"/>
            <wp:effectExtent b="0" l="0" r="0" t="0"/>
            <wp:docPr descr="Рис. 16: Настройка RIP на gw-03" title="" id="81" name="Picture"/>
            <a:graphic>
              <a:graphicData uri="http://schemas.openxmlformats.org/drawingml/2006/picture">
                <pic:pic>
                  <pic:nvPicPr>
                    <pic:cNvPr descr="image/1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77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RIP на gw-03</w:t>
      </w:r>
    </w:p>
    <w:bookmarkEnd w:id="83"/>
    <w:bookmarkStart w:id="87" w:name="fig:017"/>
    <w:p>
      <w:pPr>
        <w:pStyle w:val="CaptionedFigure"/>
      </w:pPr>
      <w:r>
        <w:drawing>
          <wp:inline>
            <wp:extent cx="4267200" cy="4115187"/>
            <wp:effectExtent b="0" l="0" r="0" t="0"/>
            <wp:docPr descr="Рис. 17: Проверка связности после настройки RIP" title="" id="85" name="Picture"/>
            <a:graphic>
              <a:graphicData uri="http://schemas.openxmlformats.org/drawingml/2006/picture">
                <pic:pic>
                  <pic:nvPicPr>
                    <pic:cNvPr descr="image/1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1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связности после настройки RIP</w:t>
      </w:r>
    </w:p>
    <w:bookmarkEnd w:id="87"/>
    <w:bookmarkStart w:id="91" w:name="fig:018"/>
    <w:p>
      <w:pPr>
        <w:pStyle w:val="CaptionedFigure"/>
      </w:pPr>
      <w:r>
        <w:drawing>
          <wp:inline>
            <wp:extent cx="4267200" cy="2682970"/>
            <wp:effectExtent b="0" l="0" r="0" t="0"/>
            <wp:docPr descr="Рис. 18: Анализ трафика ICMP и RIP" title="" id="89" name="Picture"/>
            <a:graphic>
              <a:graphicData uri="http://schemas.openxmlformats.org/drawingml/2006/picture">
                <pic:pic>
                  <pic:nvPicPr>
                    <pic:cNvPr descr="image/1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82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Анализ трафика ICMP и RIP</w:t>
      </w:r>
    </w:p>
    <w:bookmarkEnd w:id="91"/>
    <w:bookmarkStart w:id="95" w:name="fig:019"/>
    <w:p>
      <w:pPr>
        <w:pStyle w:val="CaptionedFigure"/>
      </w:pPr>
      <w:r>
        <w:drawing>
          <wp:inline>
            <wp:extent cx="4267200" cy="2710852"/>
            <wp:effectExtent b="0" l="0" r="0" t="0"/>
            <wp:docPr descr="Рис. 19: Настройка туннеля на gw-01" title="" id="93" name="Picture"/>
            <a:graphic>
              <a:graphicData uri="http://schemas.openxmlformats.org/drawingml/2006/picture">
                <pic:pic>
                  <pic:nvPicPr>
                    <pic:cNvPr descr="image/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0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Настройка туннеля на gw-01</w:t>
      </w:r>
    </w:p>
    <w:bookmarkEnd w:id="95"/>
    <w:bookmarkStart w:id="99" w:name="fig:020"/>
    <w:p>
      <w:pPr>
        <w:pStyle w:val="CaptionedFigure"/>
      </w:pPr>
      <w:r>
        <w:drawing>
          <wp:inline>
            <wp:extent cx="4267200" cy="4158342"/>
            <wp:effectExtent b="0" l="0" r="0" t="0"/>
            <wp:docPr descr="Рис. 20: Настройка туннеля на gw-02" title="" id="97" name="Picture"/>
            <a:graphic>
              <a:graphicData uri="http://schemas.openxmlformats.org/drawingml/2006/picture">
                <pic:pic>
                  <pic:nvPicPr>
                    <pic:cNvPr descr="image/2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58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туннеля на gw-02</w:t>
      </w:r>
    </w:p>
    <w:bookmarkEnd w:id="99"/>
    <w:bookmarkStart w:id="103" w:name="fig:021"/>
    <w:p>
      <w:pPr>
        <w:pStyle w:val="CaptionedFigure"/>
      </w:pPr>
      <w:r>
        <w:drawing>
          <wp:inline>
            <wp:extent cx="4267200" cy="1856923"/>
            <wp:effectExtent b="0" l="0" r="0" t="0"/>
            <wp:docPr descr="Рис. 21: Статический IPv6-маршрут на gw-01" title="" id="101" name="Picture"/>
            <a:graphic>
              <a:graphicData uri="http://schemas.openxmlformats.org/drawingml/2006/picture">
                <pic:pic>
                  <pic:nvPicPr>
                    <pic:cNvPr descr="image/2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5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Статический IPv6-маршрут на gw-01</w:t>
      </w:r>
    </w:p>
    <w:bookmarkEnd w:id="103"/>
    <w:bookmarkStart w:id="107" w:name="fig:022"/>
    <w:p>
      <w:pPr>
        <w:pStyle w:val="CaptionedFigure"/>
      </w:pPr>
      <w:r>
        <w:drawing>
          <wp:inline>
            <wp:extent cx="4267200" cy="3391001"/>
            <wp:effectExtent b="0" l="0" r="0" t="0"/>
            <wp:docPr descr="Рис. 22: Статический IPv6-маршрут на gw-02" title="" id="105" name="Picture"/>
            <a:graphic>
              <a:graphicData uri="http://schemas.openxmlformats.org/drawingml/2006/picture">
                <pic:pic>
                  <pic:nvPicPr>
                    <pic:cNvPr descr="image/2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9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Статический IPv6-маршрут на gw-02</w:t>
      </w:r>
    </w:p>
    <w:bookmarkEnd w:id="107"/>
    <w:bookmarkStart w:id="111" w:name="fig:023"/>
    <w:p>
      <w:pPr>
        <w:pStyle w:val="CaptionedFigure"/>
      </w:pPr>
      <w:r>
        <w:drawing>
          <wp:inline>
            <wp:extent cx="4267200" cy="2741820"/>
            <wp:effectExtent b="0" l="0" r="0" t="0"/>
            <wp:docPr descr="Рис. 23: Проверка связности с PC1" title="" id="109" name="Picture"/>
            <a:graphic>
              <a:graphicData uri="http://schemas.openxmlformats.org/drawingml/2006/picture">
                <pic:pic>
                  <pic:nvPicPr>
                    <pic:cNvPr descr="image/23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41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связности с PC1</w:t>
      </w:r>
    </w:p>
    <w:bookmarkEnd w:id="111"/>
    <w:bookmarkStart w:id="115" w:name="fig:024"/>
    <w:p>
      <w:pPr>
        <w:pStyle w:val="CaptionedFigure"/>
      </w:pPr>
      <w:r>
        <w:drawing>
          <wp:inline>
            <wp:extent cx="4267200" cy="1201947"/>
            <wp:effectExtent b="0" l="0" r="0" t="0"/>
            <wp:docPr descr="Рис. 24: Проверка связности с PC2" title="" id="113" name="Picture"/>
            <a:graphic>
              <a:graphicData uri="http://schemas.openxmlformats.org/drawingml/2006/picture">
                <pic:pic>
                  <pic:nvPicPr>
                    <pic:cNvPr descr="image/24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01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 связности с PC2</w:t>
      </w:r>
    </w:p>
    <w:bookmarkEnd w:id="115"/>
    <w:bookmarkStart w:id="119" w:name="fig:025"/>
    <w:p>
      <w:pPr>
        <w:pStyle w:val="CaptionedFigure"/>
      </w:pPr>
      <w:r>
        <w:drawing>
          <wp:inline>
            <wp:extent cx="4267200" cy="2710852"/>
            <wp:effectExtent b="0" l="0" r="0" t="0"/>
            <wp:docPr descr="Рис. 25: Общий вид трафика IPv6" title="" id="117" name="Picture"/>
            <a:graphic>
              <a:graphicData uri="http://schemas.openxmlformats.org/drawingml/2006/picture">
                <pic:pic>
                  <pic:nvPicPr>
                    <pic:cNvPr descr="image/25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0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Общий вид трафика IPv6</w:t>
      </w:r>
    </w:p>
    <w:bookmarkEnd w:id="119"/>
    <w:bookmarkStart w:id="123" w:name="fig:026"/>
    <w:p>
      <w:pPr>
        <w:pStyle w:val="CaptionedFigure"/>
      </w:pPr>
      <w:r>
        <w:drawing>
          <wp:inline>
            <wp:extent cx="4267200" cy="2656114"/>
            <wp:effectExtent b="0" l="0" r="0" t="0"/>
            <wp:docPr descr="Рис. 26: Структура инкапсулированного пакета" title="" id="121" name="Picture"/>
            <a:graphic>
              <a:graphicData uri="http://schemas.openxmlformats.org/drawingml/2006/picture">
                <pic:pic>
                  <pic:nvPicPr>
                    <pic:cNvPr descr="image/26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Структура инкапсулированного пакета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4" Target="media/rId24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Талебу Тенке Франк Устон</dc:creator>
  <dc:language>ru-RU</dc:language>
  <cp:keywords/>
  <dcterms:created xsi:type="dcterms:W3CDTF">2026-03-23T05:06:43Z</dcterms:created>
  <dcterms:modified xsi:type="dcterms:W3CDTF">2026-03-23T05:06:43Z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mail">
    <vt:lpwstr>1032224534@pfur.ru</vt:lpwstr>
  </property>
  <property fmtid="{D5CDD505-2E9C-101B-9397-08002B2CF9AE}" pid="22" name="eqLabels">
    <vt:lpwstr>arabic</vt:lpwstr>
  </property>
  <property fmtid="{D5CDD505-2E9C-101B-9397-08002B2CF9AE}" pid="23" name="eqnBlockInlineMath">
    <vt:lpwstr>False</vt:lpwstr>
  </property>
  <property fmtid="{D5CDD505-2E9C-101B-9397-08002B2CF9AE}" pid="24" name="eqnBlockTemplate">
    <vt:lpwstr>ti</vt:lpwstr>
  </property>
  <property fmtid="{D5CDD505-2E9C-101B-9397-08002B2CF9AE}" pid="25" name="eqnDisplayTemplate">
    <vt:lpwstr>e</vt:lpwstr>
  </property>
  <property fmtid="{D5CDD505-2E9C-101B-9397-08002B2CF9AE}" pid="26" name="eqnIndexTemplate">
    <vt:lpwstr>(i)</vt:lpwstr>
  </property>
  <property fmtid="{D5CDD505-2E9C-101B-9397-08002B2CF9AE}" pid="27" name="eqnInlineTableTemplate">
    <vt:lpwstr>e</vt:lpwstr>
  </property>
  <property fmtid="{D5CDD505-2E9C-101B-9397-08002B2CF9AE}" pid="28" name="eqnInlineTemplate">
    <vt:lpwstr>eequationNumberTeX{i}</vt:lpwstr>
  </property>
  <property fmtid="{D5CDD505-2E9C-101B-9397-08002B2CF9AE}" pid="29" name="eqnPrefix">
    <vt:lpwstr/>
  </property>
  <property fmtid="{D5CDD505-2E9C-101B-9397-08002B2CF9AE}" pid="30" name="eqnPrefixTemplate">
    <vt:lpwstr>p i</vt:lpwstr>
  </property>
  <property fmtid="{D5CDD505-2E9C-101B-9397-08002B2CF9AE}" pid="31" name="equationNumberTeX">
    <vt:lpwstr>\qquad</vt:lpwstr>
  </property>
  <property fmtid="{D5CDD505-2E9C-101B-9397-08002B2CF9AE}" pid="32" name="figLabels">
    <vt:lpwstr>arabic</vt:lpwstr>
  </property>
  <property fmtid="{D5CDD505-2E9C-101B-9397-08002B2CF9AE}" pid="33" name="figPrefix">
    <vt:lpwstr/>
  </property>
  <property fmtid="{D5CDD505-2E9C-101B-9397-08002B2CF9AE}" pid="34" name="figPrefixTemplate">
    <vt:lpwstr>p i</vt:lpwstr>
  </property>
  <property fmtid="{D5CDD505-2E9C-101B-9397-08002B2CF9AE}" pid="35" name="figureTemplate">
    <vt:lpwstr>figureTitle ititleDelim t</vt:lpwstr>
  </property>
  <property fmtid="{D5CDD505-2E9C-101B-9397-08002B2CF9AE}" pid="36" name="figureTitle">
    <vt:lpwstr>Рис.</vt:lpwstr>
  </property>
  <property fmtid="{D5CDD505-2E9C-101B-9397-08002B2CF9AE}" pid="37" name="fontsize">
    <vt:lpwstr>12pt</vt:lpwstr>
  </property>
  <property fmtid="{D5CDD505-2E9C-101B-9397-08002B2CF9AE}" pid="38" name="header-includes">
    <vt:lpwstr/>
  </property>
  <property fmtid="{D5CDD505-2E9C-101B-9397-08002B2CF9AE}" pid="39" name="indent">
    <vt:lpwstr>True</vt:lpwstr>
  </property>
  <property fmtid="{D5CDD505-2E9C-101B-9397-08002B2CF9AE}" pid="40" name="institute">
    <vt:lpwstr>Российский университет дружбы народов</vt:lpwstr>
  </property>
  <property fmtid="{D5CDD505-2E9C-101B-9397-08002B2CF9AE}" pid="41" name="lastDelim">
    <vt:lpwstr>, </vt:lpwstr>
  </property>
  <property fmtid="{D5CDD505-2E9C-101B-9397-08002B2CF9AE}" pid="42" name="linestretch">
    <vt:lpwstr>1.5</vt:lpwstr>
  </property>
  <property fmtid="{D5CDD505-2E9C-101B-9397-08002B2CF9AE}" pid="43" name="linkReferences">
    <vt:lpwstr>False</vt:lpwstr>
  </property>
  <property fmtid="{D5CDD505-2E9C-101B-9397-08002B2CF9AE}" pid="44" name="listItemTitleDelim">
    <vt:lpwstr>.</vt:lpwstr>
  </property>
  <property fmtid="{D5CDD505-2E9C-101B-9397-08002B2CF9AE}" pid="45" name="listingTemplate">
    <vt:lpwstr>listingTitle ititleDelim t</vt:lpwstr>
  </property>
  <property fmtid="{D5CDD505-2E9C-101B-9397-08002B2CF9AE}" pid="46" name="listingTitle">
    <vt:lpwstr>Листинг</vt:lpwstr>
  </property>
  <property fmtid="{D5CDD505-2E9C-101B-9397-08002B2CF9AE}" pid="47" name="listings">
    <vt:lpwstr>False</vt:lpwstr>
  </property>
  <property fmtid="{D5CDD505-2E9C-101B-9397-08002B2CF9AE}" pid="48" name="lof">
    <vt:lpwstr>True</vt:lpwstr>
  </property>
  <property fmtid="{D5CDD505-2E9C-101B-9397-08002B2CF9AE}" pid="49" name="lofItemTemplate">
    <vt:lpwstr>lofItemTitleilistItemTitleDelimt </vt:lpwstr>
  </property>
  <property fmtid="{D5CDD505-2E9C-101B-9397-08002B2CF9AE}" pid="50" name="lofItemTitle">
    <vt:lpwstr/>
  </property>
  <property fmtid="{D5CDD505-2E9C-101B-9397-08002B2CF9AE}" pid="51" name="lofTitle">
    <vt:lpwstr>Список иллюстраций</vt:lpwstr>
  </property>
  <property fmtid="{D5CDD505-2E9C-101B-9397-08002B2CF9AE}" pid="52" name="lolItemTemplate">
    <vt:lpwstr>lolItemTitleilistItemTitleDelimt </vt:lpwstr>
  </property>
  <property fmtid="{D5CDD505-2E9C-101B-9397-08002B2CF9AE}" pid="53" name="lolItemTitle">
    <vt:lpwstr/>
  </property>
  <property fmtid="{D5CDD505-2E9C-101B-9397-08002B2CF9AE}" pid="54" name="lolTitle">
    <vt:lpwstr>Листинги</vt:lpwstr>
  </property>
  <property fmtid="{D5CDD505-2E9C-101B-9397-08002B2CF9AE}" pid="55" name="lot">
    <vt:lpwstr>False</vt:lpwstr>
  </property>
  <property fmtid="{D5CDD505-2E9C-101B-9397-08002B2CF9AE}" pid="56" name="lotItemTemplate">
    <vt:lpwstr>lotItemTitleilistItemTitleDelimt </vt:lpwstr>
  </property>
  <property fmtid="{D5CDD505-2E9C-101B-9397-08002B2CF9AE}" pid="57" name="lotItemTitle">
    <vt:lpwstr/>
  </property>
  <property fmtid="{D5CDD505-2E9C-101B-9397-08002B2CF9AE}" pid="58" name="lotTitle">
    <vt:lpwstr>Список таблиц</vt:lpwstr>
  </property>
  <property fmtid="{D5CDD505-2E9C-101B-9397-08002B2CF9AE}" pid="59" name="lstLabels">
    <vt:lpwstr>arabic</vt:lpwstr>
  </property>
  <property fmtid="{D5CDD505-2E9C-101B-9397-08002B2CF9AE}" pid="60" name="lstPrefix">
    <vt:lpwstr/>
  </property>
  <property fmtid="{D5CDD505-2E9C-101B-9397-08002B2CF9AE}" pid="61" name="lstPrefixTemplate">
    <vt:lpwstr>p i</vt:lpwstr>
  </property>
  <property fmtid="{D5CDD505-2E9C-101B-9397-08002B2CF9AE}" pid="62" name="mainfont">
    <vt:lpwstr>IBM Plex Serif</vt:lpwstr>
  </property>
  <property fmtid="{D5CDD505-2E9C-101B-9397-08002B2CF9AE}" pid="63" name="mainfontoptions">
    <vt:lpwstr>Ligatures=Common,Ligatures=TeX,Scale=0.94</vt:lpwstr>
  </property>
  <property fmtid="{D5CDD505-2E9C-101B-9397-08002B2CF9AE}" pid="64" name="mathfont">
    <vt:lpwstr>STIX Two Math</vt:lpwstr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Адресация IPv4 и IPv6. Настройка маршрутизации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