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28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помощью высокоуровнего языка программирования Octave. Определить спектр и параметры сигнала. Продемонстрировать принципы модуляции сигнала на примере аналоговой амплитудной модуляции. Исследовать свойства самосинхронизации сигнала.</w:t>
      </w:r>
    </w:p>
    <w:bookmarkEnd w:id="20"/>
    <w:bookmarkStart w:id="1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задание-1"/>
    <w:p>
      <w:pPr>
        <w:pStyle w:val="Heading2"/>
      </w:pPr>
      <w:r>
        <w:t xml:space="preserve">Задание №1</w:t>
      </w:r>
    </w:p>
    <w:p>
      <w:pPr>
        <w:pStyle w:val="FirstParagraph"/>
      </w:pPr>
      <w:r>
        <w:t xml:space="preserve">После запуска Octave создал сценарий</w:t>
      </w:r>
      <w:r>
        <w:t xml:space="preserve"> </w:t>
      </w:r>
      <w:r>
        <w:rPr>
          <w:rStyle w:val="VerbatimChar"/>
        </w:rPr>
        <w:t xml:space="preserve">plot_sin.m</w:t>
      </w:r>
      <w:r>
        <w:t xml:space="preserve"> </w:t>
      </w:r>
      <w:r>
        <w:t xml:space="preserve">для построения графика функции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733800" cy="1572436"/>
            <wp:effectExtent b="0" l="0" r="0" t="0"/>
            <wp:docPr descr="График функции sin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sin</w:t>
      </w:r>
    </w:p>
    <w:p>
      <w:pPr>
        <w:pStyle w:val="BodyText"/>
      </w:pPr>
      <w:r>
        <w:t xml:space="preserve">Далее построил графики функций y1 и y2 на одном рисунке 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r>
        <w:drawing>
          <wp:inline>
            <wp:extent cx="3733800" cy="1508904"/>
            <wp:effectExtent b="0" l="0" r="0" t="0"/>
            <wp:docPr descr="График функций y1 и y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функций y1 и y2</w:t>
      </w:r>
    </w:p>
    <w:bookmarkEnd w:id="27"/>
    <w:bookmarkStart w:id="34" w:name="задание-2"/>
    <w:p>
      <w:pPr>
        <w:pStyle w:val="Heading2"/>
      </w:pPr>
      <w:r>
        <w:t xml:space="preserve">Задание №2</w:t>
      </w:r>
    </w:p>
    <w:p>
      <w:pPr>
        <w:pStyle w:val="FirstParagraph"/>
      </w:pPr>
      <w:r>
        <w:t xml:space="preserve">Разложил импульсный сигнал в частичный ряд Фурье. Получил графики меандра через косинусы (рис.</w:t>
      </w:r>
      <w:r>
        <w:t xml:space="preserve"> </w:t>
      </w:r>
      <w:r>
        <w:t xml:space="preserve">@fig:003</w:t>
      </w:r>
      <w:r>
        <w:t xml:space="preserve">) и через синусы (рис.</w:t>
      </w:r>
      <w:r>
        <w:t xml:space="preserve"> </w:t>
      </w:r>
      <w:r>
        <w:t xml:space="preserve">@fig:004</w:t>
      </w:r>
      <w:r>
        <w:t xml:space="preserve">):</w:t>
      </w:r>
    </w:p>
    <w:p>
      <w:pPr>
        <w:pStyle w:val="CaptionedFigure"/>
      </w:pPr>
      <w:r>
        <w:drawing>
          <wp:inline>
            <wp:extent cx="3733800" cy="3521028"/>
            <wp:effectExtent b="0" l="0" r="0" t="0"/>
            <wp:docPr descr="Графики меандра (косинусы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 (косинусы)</w:t>
      </w:r>
    </w:p>
    <w:p>
      <w:pPr>
        <w:pStyle w:val="CaptionedFigure"/>
      </w:pPr>
      <w:r>
        <w:drawing>
          <wp:inline>
            <wp:extent cx="3733800" cy="2818834"/>
            <wp:effectExtent b="0" l="0" r="0" t="0"/>
            <wp:docPr descr="Графики меандра (синусы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 (синусы)</w:t>
      </w:r>
    </w:p>
    <w:bookmarkEnd w:id="34"/>
    <w:bookmarkStart w:id="65" w:name="задание-3"/>
    <w:p>
      <w:pPr>
        <w:pStyle w:val="Heading2"/>
      </w:pPr>
      <w:r>
        <w:t xml:space="preserve">Задание №3</w:t>
      </w:r>
    </w:p>
    <w:p>
      <w:pPr>
        <w:pStyle w:val="FirstParagraph"/>
      </w:pPr>
      <w:r>
        <w:t xml:space="preserve">Определил спектр двух отдельных сигналов разной частоты (рис.</w:t>
      </w:r>
      <w:r>
        <w:t xml:space="preserve"> </w:t>
      </w:r>
      <w:r>
        <w:t xml:space="preserve">@fig:005</w:t>
      </w:r>
      <w:r>
        <w:t xml:space="preserve">):</w:t>
      </w:r>
    </w:p>
    <w:p>
      <w:pPr>
        <w:pStyle w:val="CaptionedFigure"/>
      </w:pPr>
      <w:r>
        <w:drawing>
          <wp:inline>
            <wp:extent cx="3733800" cy="3022928"/>
            <wp:effectExtent b="0" l="0" r="0" t="0"/>
            <wp:docPr descr="Два синусоидальных сигнала разной частоты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синусоидальных сигнала разной частоты</w:t>
      </w:r>
    </w:p>
    <w:p>
      <w:pPr>
        <w:pStyle w:val="BodyText"/>
      </w:pPr>
      <w:r>
        <w:t xml:space="preserve">Построил график спектров сигналов (рис.</w:t>
      </w:r>
      <w:r>
        <w:t xml:space="preserve"> </w:t>
      </w:r>
      <w:r>
        <w:t xml:space="preserve">@fig:006</w:t>
      </w:r>
      <w:r>
        <w:t xml:space="preserve">) и исправленный график спектров (рис.</w:t>
      </w:r>
      <w:r>
        <w:t xml:space="preserve"> </w:t>
      </w:r>
      <w:r>
        <w:t xml:space="preserve">@fig:007</w:t>
      </w:r>
      <w:r>
        <w:t xml:space="preserve">):</w:t>
      </w:r>
    </w:p>
    <w:p>
      <w:pPr>
        <w:pStyle w:val="CaptionedFigure"/>
      </w:pPr>
      <w:r>
        <w:drawing>
          <wp:inline>
            <wp:extent cx="3733800" cy="2687384"/>
            <wp:effectExtent b="0" l="0" r="0" t="0"/>
            <wp:docPr descr="График спектров сигнал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спектров сигналов</w:t>
      </w:r>
    </w:p>
    <w:p>
      <w:pPr>
        <w:pStyle w:val="CaptionedFigure"/>
      </w:pPr>
      <w:r>
        <w:drawing>
          <wp:inline>
            <wp:extent cx="3733800" cy="2811874"/>
            <wp:effectExtent b="0" l="0" r="0" t="0"/>
            <wp:docPr descr="Исправленный график спектров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Исправленный график спектров</w:t>
      </w:r>
    </w:p>
    <w:p>
      <w:pPr>
        <w:pStyle w:val="BodyText"/>
      </w:pPr>
      <w:r>
        <w:t xml:space="preserve">Определил спектр суммы сигналов (рис.</w:t>
      </w:r>
      <w:r>
        <w:t xml:space="preserve"> </w:t>
      </w:r>
      <w:r>
        <w:t xml:space="preserve">@fig:008</w:t>
      </w:r>
      <w:r>
        <w:t xml:space="preserve">,</w:t>
      </w:r>
      <w:r>
        <w:t xml:space="preserve"> </w:t>
      </w:r>
      <w:r>
        <w:t xml:space="preserve">@fig:009</w:t>
      </w:r>
      <w:r>
        <w:t xml:space="preserve">):</w:t>
      </w:r>
    </w:p>
    <w:p>
      <w:pPr>
        <w:pStyle w:val="CaptionedFigure"/>
      </w:pPr>
      <w:r>
        <w:drawing>
          <wp:inline>
            <wp:extent cx="3733800" cy="3002985"/>
            <wp:effectExtent b="0" l="0" r="0" t="0"/>
            <wp:docPr descr="Суммарный сигнал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Суммарный сигнал</w:t>
      </w:r>
    </w:p>
    <w:p>
      <w:pPr>
        <w:pStyle w:val="CaptionedFigure"/>
      </w:pPr>
      <w:r>
        <w:drawing>
          <wp:inline>
            <wp:extent cx="3733800" cy="3048138"/>
            <wp:effectExtent b="0" l="0" r="0" t="0"/>
            <wp:docPr descr="Спектр суммарного сигнал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суммарного сигнала</w:t>
      </w:r>
    </w:p>
    <w:p>
      <w:pPr>
        <w:pStyle w:val="BodyText"/>
      </w:pPr>
      <w:r>
        <w:t xml:space="preserve">Выполнил задание с частотой дискретизации 50 Гц (меньше 80 Гц). Получил искажённые графики (рис.</w:t>
      </w:r>
      <w:r>
        <w:t xml:space="preserve"> </w:t>
      </w:r>
      <w:r>
        <w:t xml:space="preserve">@fig:010-014</w:t>
      </w:r>
      <w:r>
        <w:t xml:space="preserve">):</w:t>
      </w:r>
    </w:p>
    <w:p>
      <w:pPr>
        <w:pStyle w:val="CaptionedFigure"/>
      </w:pPr>
      <w:r>
        <w:drawing>
          <wp:inline>
            <wp:extent cx="3733800" cy="2805056"/>
            <wp:effectExtent b="0" l="0" r="0" t="0"/>
            <wp:docPr descr="Два сигнала (fd=50)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сигнала (fd=50)</w:t>
      </w:r>
    </w:p>
    <w:p>
      <w:pPr>
        <w:pStyle w:val="CaptionedFigure"/>
      </w:pPr>
      <w:r>
        <w:drawing>
          <wp:inline>
            <wp:extent cx="3733800" cy="2790524"/>
            <wp:effectExtent b="0" l="0" r="0" t="0"/>
            <wp:docPr descr="Спектры сигналов (fd=50)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Спектры сигналов (fd=50)</w:t>
      </w:r>
    </w:p>
    <w:p>
      <w:pPr>
        <w:pStyle w:val="CaptionedFigure"/>
      </w:pPr>
      <w:r>
        <w:drawing>
          <wp:inline>
            <wp:extent cx="3733800" cy="2868349"/>
            <wp:effectExtent b="0" l="0" r="0" t="0"/>
            <wp:docPr descr="Исправленные спектры (fd=50)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Исправленные спектры (fd=50)</w:t>
      </w:r>
    </w:p>
    <w:p>
      <w:pPr>
        <w:pStyle w:val="CaptionedFigure"/>
      </w:pPr>
      <w:r>
        <w:drawing>
          <wp:inline>
            <wp:extent cx="3733800" cy="2970913"/>
            <wp:effectExtent b="0" l="0" r="0" t="0"/>
            <wp:docPr descr="Суммарный сигнал (fd=50)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Суммарный сигнал (fd=50)</w:t>
      </w:r>
    </w:p>
    <w:p>
      <w:pPr>
        <w:pStyle w:val="CaptionedFigure"/>
      </w:pPr>
      <w:r>
        <w:drawing>
          <wp:inline>
            <wp:extent cx="3733800" cy="2789961"/>
            <wp:effectExtent b="0" l="0" r="0" t="0"/>
            <wp:docPr descr="Спектр суммы (fd=50)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суммы (fd=50)</w:t>
      </w:r>
    </w:p>
    <w:bookmarkEnd w:id="65"/>
    <w:bookmarkStart w:id="72" w:name="задание-4"/>
    <w:p>
      <w:pPr>
        <w:pStyle w:val="Heading2"/>
      </w:pPr>
      <w:r>
        <w:t xml:space="preserve">Задание №4</w:t>
      </w:r>
    </w:p>
    <w:p>
      <w:pPr>
        <w:pStyle w:val="FirstParagraph"/>
      </w:pPr>
      <w:r>
        <w:t xml:space="preserve">Продемонстрировал аналоговую амплитудную модуляцию (рис.</w:t>
      </w:r>
      <w:r>
        <w:t xml:space="preserve"> </w:t>
      </w:r>
      <w:r>
        <w:t xml:space="preserve">@fig:015</w:t>
      </w:r>
      <w:r>
        <w:t xml:space="preserve">,</w:t>
      </w:r>
      <w:r>
        <w:t xml:space="preserve"> </w:t>
      </w:r>
      <w:r>
        <w:t xml:space="preserve">@fig:016</w:t>
      </w:r>
      <w:r>
        <w:t xml:space="preserve">):</w:t>
      </w:r>
    </w:p>
    <w:p>
      <w:pPr>
        <w:pStyle w:val="CaptionedFigure"/>
      </w:pPr>
      <w:r>
        <w:drawing>
          <wp:inline>
            <wp:extent cx="3733800" cy="2889250"/>
            <wp:effectExtent b="0" l="0" r="0" t="0"/>
            <wp:docPr descr="Сигнал и огибающая при АМ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Сигнал и огибающая при АМ</w:t>
      </w:r>
    </w:p>
    <w:p>
      <w:pPr>
        <w:pStyle w:val="CaptionedFigure"/>
      </w:pPr>
      <w:r>
        <w:drawing>
          <wp:inline>
            <wp:extent cx="3733800" cy="2959719"/>
            <wp:effectExtent b="0" l="0" r="0" t="0"/>
            <wp:docPr descr="Спектр сигнала при АМ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сигнала при АМ</w:t>
      </w:r>
    </w:p>
    <w:bookmarkEnd w:id="72"/>
    <w:bookmarkStart w:id="127" w:name="задание-5"/>
    <w:p>
      <w:pPr>
        <w:pStyle w:val="Heading2"/>
      </w:pPr>
      <w:r>
        <w:t xml:space="preserve">Задание №5</w:t>
      </w:r>
    </w:p>
    <w:p>
      <w:pPr>
        <w:pStyle w:val="FirstParagraph"/>
      </w:pPr>
      <w:r>
        <w:t xml:space="preserve">Получил кодированные сигналы для различных кодов (рис.</w:t>
      </w:r>
      <w:r>
        <w:t xml:space="preserve"> </w:t>
      </w:r>
      <w:r>
        <w:t xml:space="preserve">@fig:017-022</w:t>
      </w:r>
      <w:r>
        <w:t xml:space="preserve">):</w:t>
      </w:r>
    </w:p>
    <w:p>
      <w:pPr>
        <w:pStyle w:val="CaptionedFigure"/>
      </w:pPr>
      <w:r>
        <w:drawing>
          <wp:inline>
            <wp:extent cx="3733800" cy="2809907"/>
            <wp:effectExtent b="0" l="0" r="0" t="0"/>
            <wp:docPr descr="Униполярное кодирование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</w:t>
      </w:r>
    </w:p>
    <w:p>
      <w:pPr>
        <w:pStyle w:val="CaptionedFigure"/>
      </w:pPr>
      <w:r>
        <w:drawing>
          <wp:inline>
            <wp:extent cx="3733800" cy="2960837"/>
            <wp:effectExtent b="0" l="0" r="0" t="0"/>
            <wp:docPr descr="Кодирование AMI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0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</w:t>
      </w:r>
    </w:p>
    <w:p>
      <w:pPr>
        <w:pStyle w:val="CaptionedFigure"/>
      </w:pPr>
      <w:r>
        <w:drawing>
          <wp:inline>
            <wp:extent cx="3733800" cy="3157767"/>
            <wp:effectExtent b="0" l="0" r="0" t="0"/>
            <wp:docPr descr="Кодирование NRZ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</w:t>
      </w:r>
    </w:p>
    <w:p>
      <w:pPr>
        <w:pStyle w:val="CaptionedFigure"/>
      </w:pPr>
      <w:r>
        <w:drawing>
          <wp:inline>
            <wp:extent cx="3733800" cy="3028304"/>
            <wp:effectExtent b="0" l="0" r="0" t="0"/>
            <wp:docPr descr="Кодирование RZ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</w:t>
      </w:r>
    </w:p>
    <w:p>
      <w:pPr>
        <w:pStyle w:val="CaptionedFigure"/>
      </w:pPr>
      <w:r>
        <w:drawing>
          <wp:inline>
            <wp:extent cx="3733800" cy="2984289"/>
            <wp:effectExtent b="0" l="0" r="0" t="0"/>
            <wp:docPr descr="Манчестерское кодирование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</w:t>
      </w:r>
    </w:p>
    <w:p>
      <w:pPr>
        <w:pStyle w:val="CaptionedFigure"/>
      </w:pPr>
      <w:r>
        <w:drawing>
          <wp:inline>
            <wp:extent cx="3733800" cy="3114938"/>
            <wp:effectExtent b="0" l="0" r="0" t="0"/>
            <wp:docPr descr="Дифференциальное манчестерское кодирование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</w:t>
      </w:r>
    </w:p>
    <w:p>
      <w:pPr>
        <w:pStyle w:val="BodyText"/>
      </w:pPr>
      <w:r>
        <w:t xml:space="preserve">Проверил свойства самосинхронизации кодов (рис.</w:t>
      </w:r>
      <w:r>
        <w:t xml:space="preserve"> </w:t>
      </w:r>
      <w:r>
        <w:t xml:space="preserve">@fig:023-028</w:t>
      </w:r>
      <w:r>
        <w:t xml:space="preserve">):</w:t>
      </w:r>
    </w:p>
    <w:p>
      <w:pPr>
        <w:pStyle w:val="CaptionedFigure"/>
      </w:pPr>
      <w:r>
        <w:drawing>
          <wp:inline>
            <wp:extent cx="3733800" cy="2917031"/>
            <wp:effectExtent b="0" l="0" r="0" t="0"/>
            <wp:docPr descr="Униполярное кодирование: нет самосинхронизации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нет самосинхронизации</w:t>
      </w:r>
    </w:p>
    <w:p>
      <w:pPr>
        <w:pStyle w:val="CaptionedFigure"/>
      </w:pPr>
      <w:r>
        <w:drawing>
          <wp:inline>
            <wp:extent cx="3733800" cy="3069867"/>
            <wp:effectExtent b="0" l="0" r="0" t="0"/>
            <wp:docPr descr="Кодирование AMI: самосинхронизация" title="" id="95" name="Picture"/>
            <a:graphic>
              <a:graphicData uri="http://schemas.openxmlformats.org/drawingml/2006/picture">
                <pic:pic>
                  <pic:nvPicPr>
                    <pic:cNvPr descr="image/2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самосинхронизация</w:t>
      </w:r>
    </w:p>
    <w:p>
      <w:pPr>
        <w:pStyle w:val="CaptionedFigure"/>
      </w:pPr>
      <w:r>
        <w:drawing>
          <wp:inline>
            <wp:extent cx="3733800" cy="2881145"/>
            <wp:effectExtent b="0" l="0" r="0" t="0"/>
            <wp:docPr descr="Кодирование NRZ: нет самосинхронизации" title="" id="98" name="Picture"/>
            <a:graphic>
              <a:graphicData uri="http://schemas.openxmlformats.org/drawingml/2006/picture">
                <pic:pic>
                  <pic:nvPicPr>
                    <pic:cNvPr descr="image/2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нет самосинхронизации</w:t>
      </w:r>
    </w:p>
    <w:p>
      <w:pPr>
        <w:pStyle w:val="CaptionedFigure"/>
      </w:pPr>
      <w:r>
        <w:drawing>
          <wp:inline>
            <wp:extent cx="3733800" cy="2901082"/>
            <wp:effectExtent b="0" l="0" r="0" t="0"/>
            <wp:docPr descr="Кодирование RZ: есть самосинхронизация" title="" id="101" name="Picture"/>
            <a:graphic>
              <a:graphicData uri="http://schemas.openxmlformats.org/drawingml/2006/picture">
                <pic:pic>
                  <pic:nvPicPr>
                    <pic:cNvPr descr="image/26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есть самосинхронизация</w:t>
      </w:r>
    </w:p>
    <w:p>
      <w:pPr>
        <w:pStyle w:val="CaptionedFigure"/>
      </w:pPr>
      <w:r>
        <w:drawing>
          <wp:inline>
            <wp:extent cx="3733800" cy="2670532"/>
            <wp:effectExtent b="0" l="0" r="0" t="0"/>
            <wp:docPr descr="Манчестерское кодирование: есть самосинхронизация" title="" id="104" name="Picture"/>
            <a:graphic>
              <a:graphicData uri="http://schemas.openxmlformats.org/drawingml/2006/picture">
                <pic:pic>
                  <pic:nvPicPr>
                    <pic:cNvPr descr="image/2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есть самосинхронизация</w:t>
      </w:r>
    </w:p>
    <w:p>
      <w:pPr>
        <w:pStyle w:val="CaptionedFigure"/>
      </w:pPr>
      <w:r>
        <w:drawing>
          <wp:inline>
            <wp:extent cx="3733800" cy="2579914"/>
            <wp:effectExtent b="0" l="0" r="0" t="0"/>
            <wp:docPr descr="Дифференциальное манчестерское: есть самосинхронизация" title="" id="107" name="Picture"/>
            <a:graphic>
              <a:graphicData uri="http://schemas.openxmlformats.org/drawingml/2006/picture">
                <pic:pic>
                  <pic:nvPicPr>
                    <pic:cNvPr descr="image/2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манчестерское: есть самосинхронизация</w:t>
      </w:r>
    </w:p>
    <w:p>
      <w:pPr>
        <w:pStyle w:val="BodyText"/>
      </w:pPr>
      <w:r>
        <w:t xml:space="preserve">Получил спектры сигналов для различных кодов (рис.</w:t>
      </w:r>
      <w:r>
        <w:t xml:space="preserve"> </w:t>
      </w:r>
      <w:r>
        <w:t xml:space="preserve">@fig:029-034</w:t>
      </w:r>
      <w:r>
        <w:t xml:space="preserve">):</w:t>
      </w:r>
    </w:p>
    <w:p>
      <w:pPr>
        <w:pStyle w:val="CaptionedFigure"/>
      </w:pPr>
      <w:r>
        <w:drawing>
          <wp:inline>
            <wp:extent cx="3733800" cy="2611960"/>
            <wp:effectExtent b="0" l="0" r="0" t="0"/>
            <wp:docPr descr="Спектр униполярного кода" title="" id="110" name="Picture"/>
            <a:graphic>
              <a:graphicData uri="http://schemas.openxmlformats.org/drawingml/2006/picture">
                <pic:pic>
                  <pic:nvPicPr>
                    <pic:cNvPr descr="image/2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1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униполярного кода</w:t>
      </w:r>
    </w:p>
    <w:p>
      <w:pPr>
        <w:pStyle w:val="CaptionedFigure"/>
      </w:pPr>
      <w:r>
        <w:drawing>
          <wp:inline>
            <wp:extent cx="3733800" cy="2697933"/>
            <wp:effectExtent b="0" l="0" r="0" t="0"/>
            <wp:docPr descr="Спектр кода AMI" title="" id="113" name="Picture"/>
            <a:graphic>
              <a:graphicData uri="http://schemas.openxmlformats.org/drawingml/2006/picture">
                <pic:pic>
                  <pic:nvPicPr>
                    <pic:cNvPr descr="image/3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кода AMI</w:t>
      </w:r>
    </w:p>
    <w:p>
      <w:pPr>
        <w:pStyle w:val="CaptionedFigure"/>
      </w:pPr>
      <w:r>
        <w:drawing>
          <wp:inline>
            <wp:extent cx="3733800" cy="2773189"/>
            <wp:effectExtent b="0" l="0" r="0" t="0"/>
            <wp:docPr descr="Спектр кода NRZ" title="" id="116" name="Picture"/>
            <a:graphic>
              <a:graphicData uri="http://schemas.openxmlformats.org/drawingml/2006/picture">
                <pic:pic>
                  <pic:nvPicPr>
                    <pic:cNvPr descr="image/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кода NRZ</w:t>
      </w:r>
    </w:p>
    <w:p>
      <w:pPr>
        <w:pStyle w:val="CaptionedFigure"/>
      </w:pPr>
      <w:r>
        <w:drawing>
          <wp:inline>
            <wp:extent cx="3733800" cy="2992068"/>
            <wp:effectExtent b="0" l="0" r="0" t="0"/>
            <wp:docPr descr="Спектр кода RZ" title="" id="119" name="Picture"/>
            <a:graphic>
              <a:graphicData uri="http://schemas.openxmlformats.org/drawingml/2006/picture">
                <pic:pic>
                  <pic:nvPicPr>
                    <pic:cNvPr descr="image/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кода RZ</w:t>
      </w:r>
    </w:p>
    <w:p>
      <w:pPr>
        <w:pStyle w:val="CaptionedFigure"/>
      </w:pPr>
      <w:r>
        <w:drawing>
          <wp:inline>
            <wp:extent cx="3733800" cy="2479566"/>
            <wp:effectExtent b="0" l="0" r="0" t="0"/>
            <wp:docPr descr="Спектр манчестерского кода" title="" id="122" name="Picture"/>
            <a:graphic>
              <a:graphicData uri="http://schemas.openxmlformats.org/drawingml/2006/picture">
                <pic:pic>
                  <pic:nvPicPr>
                    <pic:cNvPr descr="image/3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манчестерского кода</w:t>
      </w:r>
    </w:p>
    <w:p>
      <w:pPr>
        <w:pStyle w:val="CaptionedFigure"/>
      </w:pPr>
      <w:r>
        <w:drawing>
          <wp:inline>
            <wp:extent cx="3733800" cy="2382000"/>
            <wp:effectExtent b="0" l="0" r="0" t="0"/>
            <wp:docPr descr="Спектр дифференциального манчестерского кода" title="" id="125" name="Picture"/>
            <a:graphic>
              <a:graphicData uri="http://schemas.openxmlformats.org/drawingml/2006/picture">
                <pic:pic>
                  <pic:nvPicPr>
                    <pic:cNvPr descr="image/3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дифференциального манчестерского кода</w:t>
      </w:r>
    </w:p>
    <w:bookmarkEnd w:id="127"/>
    <w:bookmarkEnd w:id="128"/>
    <w:bookmarkStart w:id="1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изучил методы кодирования и модуляции сигналов с помощью Octave, определил спектры сигналов, продемонстрировал принципы амплитудной модуляции и исследовал свойства самосинхронизации различных кодов.</w:t>
      </w:r>
    </w:p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28" Target="media/rId28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Талебу Тенке Франк Устон</dc:creator>
  <cp:keywords/>
  <dcterms:created xsi:type="dcterms:W3CDTF">2026-03-18T11:33:44Z</dcterms:created>
  <dcterms:modified xsi:type="dcterms:W3CDTF">2026-03-18T11:33:44Z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