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помощью высокоуровнего языка программирования Octave. Определить спектр и параметры сигнала. Продемонстрировать принципы модуляции сигнала на примере аналоговой амплитудной модуляции. Исследовать свойства самосинхронизации сигнала.</w:t>
      </w:r>
    </w:p>
    <w:bookmarkEnd w:id="20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задание-1"/>
    <w:p>
      <w:pPr>
        <w:pStyle w:val="Heading2"/>
      </w:pPr>
      <w:r>
        <w:t xml:space="preserve">Задание №1</w:t>
      </w:r>
    </w:p>
    <w:p>
      <w:pPr>
        <w:pStyle w:val="FirstParagraph"/>
      </w:pPr>
      <w:r>
        <w:t xml:space="preserve">После запуска Octave создал сценарий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 </w:t>
      </w:r>
      <w:r>
        <w:t xml:space="preserve">для построения графика функции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1521177"/>
            <wp:effectExtent b="0" l="0" r="0" t="0"/>
            <wp:docPr descr="График функции sin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sin</w:t>
      </w:r>
    </w:p>
    <w:p>
      <w:pPr>
        <w:pStyle w:val="BodyText"/>
      </w:pPr>
      <w:r>
        <w:t xml:space="preserve">Далее построил графики функций y1 и y2 на одном рисунке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1920240"/>
            <wp:effectExtent b="0" l="0" r="0" t="0"/>
            <wp:docPr descr="График функций y1 и y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функций y1 и y2</w:t>
      </w:r>
    </w:p>
    <w:bookmarkEnd w:id="27"/>
    <w:bookmarkStart w:id="34" w:name="задание-2"/>
    <w:p>
      <w:pPr>
        <w:pStyle w:val="Heading2"/>
      </w:pPr>
      <w:r>
        <w:t xml:space="preserve">Задание №2</w:t>
      </w:r>
    </w:p>
    <w:p>
      <w:pPr>
        <w:pStyle w:val="FirstParagraph"/>
      </w:pPr>
      <w:r>
        <w:t xml:space="preserve">Разложил импульсный сигнал в частичный ряд Фурье. Получил графики меандра через косинусы (рис.</w:t>
      </w:r>
      <w:r>
        <w:t xml:space="preserve"> </w:t>
      </w:r>
      <w:r>
        <w:t xml:space="preserve">@fig:003</w:t>
      </w:r>
      <w:r>
        <w:t xml:space="preserve">) и через синусы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979660"/>
            <wp:effectExtent b="0" l="0" r="0" t="0"/>
            <wp:docPr descr="Графики меандра (косинусы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 (косинусы)</w:t>
      </w:r>
    </w:p>
    <w:p>
      <w:pPr>
        <w:pStyle w:val="CaptionedFigure"/>
      </w:pPr>
      <w:r>
        <w:drawing>
          <wp:inline>
            <wp:extent cx="3733800" cy="1098971"/>
            <wp:effectExtent b="0" l="0" r="0" t="0"/>
            <wp:docPr descr="Графики меандра (синусы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 (синусы)</w:t>
      </w:r>
    </w:p>
    <w:bookmarkEnd w:id="34"/>
    <w:bookmarkStart w:id="41" w:name="задание-3"/>
    <w:p>
      <w:pPr>
        <w:pStyle w:val="Heading2"/>
      </w:pPr>
      <w:r>
        <w:t xml:space="preserve">Задание №3</w:t>
      </w:r>
    </w:p>
    <w:p>
      <w:pPr>
        <w:pStyle w:val="FirstParagraph"/>
      </w:pPr>
      <w:r>
        <w:t xml:space="preserve">Определил спектр двух отдельных сигналов разной частоты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1274724"/>
            <wp:effectExtent b="0" l="0" r="0" t="0"/>
            <wp:docPr descr="Два синусоидальных сигнала разной частоты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синусоидальных сигнала разной частоты</w:t>
      </w:r>
    </w:p>
    <w:p>
      <w:pPr>
        <w:pStyle w:val="BodyText"/>
      </w:pPr>
      <w:r>
        <w:t xml:space="preserve">Построил график спектров сигналов (рис.</w:t>
      </w:r>
      <w:r>
        <w:t xml:space="preserve"> </w:t>
      </w:r>
      <w:r>
        <w:t xml:space="preserve">@fig:006</w:t>
      </w:r>
      <w:r>
        <w:t xml:space="preserve">) и исправленный график спектров (рис.</w:t>
      </w:r>
      <w:r>
        <w:t xml:space="preserve"> </w:t>
      </w:r>
      <w:r>
        <w:t xml:space="preserve">@fig:007</w:t>
      </w:r>
      <w:r>
        <w:t xml:space="preserve">):</w:t>
      </w:r>
    </w:p>
    <w:p>
      <w:pPr>
        <w:pStyle w:val="CaptionedFigure"/>
      </w:pPr>
      <w:r>
        <w:drawing>
          <wp:inline>
            <wp:extent cx="3733800" cy="945219"/>
            <wp:effectExtent b="0" l="0" r="0" t="0"/>
            <wp:docPr descr="График спектров сигнал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5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спектров сигналов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Исправленный график спектров</w:t>
            </w:r>
          </w:p>
        </w:tc>
      </w:tr>
    </w:tbl>
    <w:p>
      <w:pPr>
        <w:pStyle w:val="ImageCaption"/>
      </w:pPr>
      <w:r>
        <w:t xml:space="preserve">Исправленный график спектров</w:t>
      </w:r>
    </w:p>
    <w:p>
      <w:pPr>
        <w:pStyle w:val="BodyText"/>
      </w:pPr>
      <w:r>
        <w:t xml:space="preserve">Определил спектр суммы сигналов (рис.</w:t>
      </w:r>
      <w:r>
        <w:t xml:space="preserve"> </w:t>
      </w:r>
      <w:r>
        <w:t xml:space="preserve">@fig:008</w:t>
      </w:r>
      <w:r>
        <w:t xml:space="preserve">,</w:t>
      </w:r>
      <w:r>
        <w:t xml:space="preserve"> </w:t>
      </w:r>
      <w:r>
        <w:t xml:space="preserve">@fig:009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Суммарный сигнал</w:t>
            </w:r>
          </w:p>
        </w:tc>
      </w:tr>
    </w:tbl>
    <w:p>
      <w:pPr>
        <w:pStyle w:val="ImageCaption"/>
      </w:pPr>
      <w:r>
        <w:t xml:space="preserve">Суммарный сигнал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суммарного сигнала</w:t>
            </w:r>
          </w:p>
        </w:tc>
      </w:tr>
    </w:tbl>
    <w:p>
      <w:pPr>
        <w:pStyle w:val="ImageCaption"/>
      </w:pPr>
      <w:r>
        <w:t xml:space="preserve">Спектр суммарного сигнала</w:t>
      </w:r>
    </w:p>
    <w:p>
      <w:pPr>
        <w:pStyle w:val="BodyText"/>
      </w:pPr>
      <w:r>
        <w:t xml:space="preserve">Выполнил задание с частотой дискретизации 50 Гц (меньше 80 Гц). Получил искажённые графики (рис.</w:t>
      </w:r>
      <w:r>
        <w:t xml:space="preserve"> </w:t>
      </w:r>
      <w:r>
        <w:t xml:space="preserve">@fig:010-014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Два сигнала (fd=50)</w:t>
            </w:r>
          </w:p>
        </w:tc>
      </w:tr>
    </w:tbl>
    <w:p>
      <w:pPr>
        <w:pStyle w:val="ImageCaption"/>
      </w:pPr>
      <w:r>
        <w:t xml:space="preserve">Два сигнала (fd=50)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Спектры сигналов (fd=50)</w:t>
            </w:r>
          </w:p>
        </w:tc>
      </w:tr>
    </w:tbl>
    <w:p>
      <w:pPr>
        <w:pStyle w:val="ImageCaption"/>
      </w:pPr>
      <w:r>
        <w:t xml:space="preserve">Спектры сигналов (fd=50)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Исправленные спектры (fd=50)</w:t>
            </w:r>
          </w:p>
        </w:tc>
      </w:tr>
    </w:tbl>
    <w:p>
      <w:pPr>
        <w:pStyle w:val="ImageCaption"/>
      </w:pPr>
      <w:r>
        <w:t xml:space="preserve">Исправленные спектры (fd=50)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Суммарный сигнал (fd=50)</w:t>
            </w:r>
          </w:p>
        </w:tc>
      </w:tr>
    </w:tbl>
    <w:p>
      <w:pPr>
        <w:pStyle w:val="ImageCaption"/>
      </w:pPr>
      <w:r>
        <w:t xml:space="preserve">Суммарный сигнал (fd=50)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суммы (fd=50)</w:t>
            </w:r>
          </w:p>
        </w:tc>
      </w:tr>
    </w:tbl>
    <w:p>
      <w:pPr>
        <w:pStyle w:val="ImageCaption"/>
      </w:pPr>
      <w:r>
        <w:t xml:space="preserve">Спектр суммы (fd=50)</w:t>
      </w:r>
    </w:p>
    <w:bookmarkEnd w:id="41"/>
    <w:bookmarkStart w:id="42" w:name="задание-4"/>
    <w:p>
      <w:pPr>
        <w:pStyle w:val="Heading2"/>
      </w:pPr>
      <w:r>
        <w:t xml:space="preserve">Задание №4</w:t>
      </w:r>
    </w:p>
    <w:p>
      <w:pPr>
        <w:pStyle w:val="FirstParagraph"/>
      </w:pPr>
      <w:r>
        <w:t xml:space="preserve">Продемонстрировал аналоговую амплитудную модуляцию (рис.</w:t>
      </w:r>
      <w:r>
        <w:t xml:space="preserve"> </w:t>
      </w:r>
      <w:r>
        <w:t xml:space="preserve">@fig:015</w:t>
      </w:r>
      <w:r>
        <w:t xml:space="preserve">,</w:t>
      </w:r>
      <w:r>
        <w:t xml:space="preserve"> </w:t>
      </w:r>
      <w:r>
        <w:t xml:space="preserve">@fig:016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Сигнал и огибающая при АМ</w:t>
            </w:r>
          </w:p>
        </w:tc>
      </w:tr>
    </w:tbl>
    <w:p>
      <w:pPr>
        <w:pStyle w:val="ImageCaption"/>
      </w:pPr>
      <w:r>
        <w:t xml:space="preserve">Сигнал и огибающая при АМ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сигнала при АМ</w:t>
            </w:r>
          </w:p>
        </w:tc>
      </w:tr>
    </w:tbl>
    <w:p>
      <w:pPr>
        <w:pStyle w:val="ImageCaption"/>
      </w:pPr>
      <w:r>
        <w:t xml:space="preserve">Спектр сигнала при АМ</w:t>
      </w:r>
    </w:p>
    <w:bookmarkEnd w:id="42"/>
    <w:bookmarkStart w:id="43" w:name="задание-5"/>
    <w:p>
      <w:pPr>
        <w:pStyle w:val="Heading2"/>
      </w:pPr>
      <w:r>
        <w:t xml:space="preserve">Задание №5</w:t>
      </w:r>
    </w:p>
    <w:p>
      <w:pPr>
        <w:pStyle w:val="FirstParagraph"/>
      </w:pPr>
      <w:r>
        <w:t xml:space="preserve">Получил кодированные сигналы для различных кодов (рис.</w:t>
      </w:r>
      <w:r>
        <w:t xml:space="preserve"> </w:t>
      </w:r>
      <w:r>
        <w:t xml:space="preserve">@fig:017-022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Униполярное кодирование</w:t>
            </w:r>
          </w:p>
        </w:tc>
      </w:tr>
    </w:tbl>
    <w:p>
      <w:pPr>
        <w:pStyle w:val="ImageCaption"/>
      </w:pPr>
      <w:r>
        <w:t xml:space="preserve">Униполярное кодирование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AMI</w:t>
            </w:r>
          </w:p>
        </w:tc>
      </w:tr>
    </w:tbl>
    <w:p>
      <w:pPr>
        <w:pStyle w:val="ImageCaption"/>
      </w:pPr>
      <w:r>
        <w:t xml:space="preserve">Кодирование AMI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NRZ</w:t>
            </w:r>
          </w:p>
        </w:tc>
      </w:tr>
    </w:tbl>
    <w:p>
      <w:pPr>
        <w:pStyle w:val="ImageCaption"/>
      </w:pPr>
      <w:r>
        <w:t xml:space="preserve">Кодирование NRZ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RZ</w:t>
            </w:r>
          </w:p>
        </w:tc>
      </w:tr>
    </w:tbl>
    <w:p>
      <w:pPr>
        <w:pStyle w:val="ImageCaption"/>
      </w:pPr>
      <w:r>
        <w:t xml:space="preserve">Кодирование RZ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Манчестерское кодирование</w:t>
            </w:r>
          </w:p>
        </w:tc>
      </w:tr>
    </w:tbl>
    <w:p>
      <w:pPr>
        <w:pStyle w:val="ImageCaption"/>
      </w:pPr>
      <w:r>
        <w:t xml:space="preserve">Манчестерское кодирование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Дифференциальное манчестерское кодирование</w:t>
            </w:r>
          </w:p>
        </w:tc>
      </w:tr>
    </w:tbl>
    <w:p>
      <w:pPr>
        <w:pStyle w:val="ImageCaption"/>
      </w:pPr>
      <w:r>
        <w:t xml:space="preserve">Дифференциальное манчестерское кодирование</w:t>
      </w:r>
    </w:p>
    <w:p>
      <w:pPr>
        <w:pStyle w:val="BodyText"/>
      </w:pPr>
      <w:r>
        <w:t xml:space="preserve">Проверил свойства самосинхронизации кодов (рис.</w:t>
      </w:r>
      <w:r>
        <w:t xml:space="preserve"> </w:t>
      </w:r>
      <w:r>
        <w:t xml:space="preserve">@fig:023-028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Униполярное кодирование: нет самосинхронизации</w:t>
            </w:r>
          </w:p>
        </w:tc>
      </w:tr>
    </w:tbl>
    <w:p>
      <w:pPr>
        <w:pStyle w:val="ImageCaption"/>
      </w:pPr>
      <w:r>
        <w:t xml:space="preserve">Униполярное кодирование: нет самосинхронизации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AMI: самосинхронизация</w:t>
            </w:r>
          </w:p>
        </w:tc>
      </w:tr>
    </w:tbl>
    <w:p>
      <w:pPr>
        <w:pStyle w:val="ImageCaption"/>
      </w:pPr>
      <w:r>
        <w:t xml:space="preserve">Кодирование AMI: самосинхронизация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NRZ: нет самосинхронизации</w:t>
            </w:r>
          </w:p>
        </w:tc>
      </w:tr>
    </w:tbl>
    <w:p>
      <w:pPr>
        <w:pStyle w:val="ImageCaption"/>
      </w:pPr>
      <w:r>
        <w:t xml:space="preserve">Кодирование NRZ: нет самосинхронизации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Кодирование RZ: есть самосинхронизация</w:t>
            </w:r>
          </w:p>
        </w:tc>
      </w:tr>
    </w:tbl>
    <w:p>
      <w:pPr>
        <w:pStyle w:val="ImageCaption"/>
      </w:pPr>
      <w:r>
        <w:t xml:space="preserve">Кодирование RZ: есть самосинхронизация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Манчестерское кодирование: есть самосинхронизация</w:t>
            </w:r>
          </w:p>
        </w:tc>
      </w:tr>
    </w:tbl>
    <w:p>
      <w:pPr>
        <w:pStyle w:val="ImageCaption"/>
      </w:pPr>
      <w:r>
        <w:t xml:space="preserve">Манчестерское кодирование: есть самосинхронизация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Дифференциальное манчестерское: есть самосинхронизация</w:t>
            </w:r>
          </w:p>
        </w:tc>
      </w:tr>
    </w:tbl>
    <w:p>
      <w:pPr>
        <w:pStyle w:val="ImageCaption"/>
      </w:pPr>
      <w:r>
        <w:t xml:space="preserve">Дифференциальное манчестерское: есть самосинхронизация</w:t>
      </w:r>
    </w:p>
    <w:p>
      <w:pPr>
        <w:pStyle w:val="BodyText"/>
      </w:pPr>
      <w:r>
        <w:t xml:space="preserve">Получил спектры сигналов для различных кодов (рис.</w:t>
      </w:r>
      <w:r>
        <w:t xml:space="preserve"> </w:t>
      </w:r>
      <w:r>
        <w:t xml:space="preserve">@fig:029-034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униполярного кода</w:t>
            </w:r>
          </w:p>
        </w:tc>
      </w:tr>
    </w:tbl>
    <w:p>
      <w:pPr>
        <w:pStyle w:val="ImageCaption"/>
      </w:pPr>
      <w:r>
        <w:t xml:space="preserve">Спектр униполярного кода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кода AMI</w:t>
            </w:r>
          </w:p>
        </w:tc>
      </w:tr>
    </w:tbl>
    <w:p>
      <w:pPr>
        <w:pStyle w:val="ImageCaption"/>
      </w:pPr>
      <w:r>
        <w:t xml:space="preserve">Спектр кода AMI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кода NRZ</w:t>
            </w:r>
          </w:p>
        </w:tc>
      </w:tr>
    </w:tbl>
    <w:p>
      <w:pPr>
        <w:pStyle w:val="ImageCaption"/>
      </w:pPr>
      <w:r>
        <w:t xml:space="preserve">Спектр кода NRZ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кода RZ</w:t>
            </w:r>
          </w:p>
        </w:tc>
      </w:tr>
    </w:tbl>
    <w:p>
      <w:pPr>
        <w:pStyle w:val="ImageCaption"/>
      </w:pPr>
      <w:r>
        <w:t xml:space="preserve">Спектр кода RZ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манчестерского кода</w:t>
            </w:r>
          </w:p>
        </w:tc>
      </w:tr>
    </w:tbl>
    <w:p>
      <w:pPr>
        <w:pStyle w:val="ImageCaption"/>
      </w:pPr>
      <w:r>
        <w:t xml:space="preserve">Спектр манчестерского кода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Спектр дифференциального манчестерского кода</w:t>
            </w:r>
          </w:p>
        </w:tc>
      </w:tr>
    </w:tbl>
    <w:p>
      <w:pPr>
        <w:pStyle w:val="ImageCaption"/>
      </w:pPr>
      <w:r>
        <w:t xml:space="preserve">Спектр дифференциального манчестерского кода</w:t>
      </w:r>
    </w:p>
    <w:bookmarkEnd w:id="43"/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методы кодирования и модуляции сигналов с помощью Octave, определил спектры сигналов, продемонстрировал принципы амплитудной модуляции и исследовал свойства самосинхронизации различных кодов.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Талебу Тенке Франк Устон</dc:creator>
  <cp:keywords/>
  <dcterms:created xsi:type="dcterms:W3CDTF">2026-03-18T11:33:54Z</dcterms:created>
  <dcterms:modified xsi:type="dcterms:W3CDTF">2026-03-18T11:33:54Z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