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7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51" w:name="установка-gns3"/>
    <w:p>
      <w:pPr>
        <w:pStyle w:val="Heading2"/>
      </w:pPr>
      <w:r>
        <w:t xml:space="preserve">Установка GNS3</w:t>
      </w:r>
    </w:p>
    <w:bookmarkStart w:id="27" w:name="установка-gns3-all-in-one"/>
    <w:p>
      <w:pPr>
        <w:pStyle w:val="Heading3"/>
      </w:pPr>
      <w:r>
        <w:t xml:space="preserve">Установка GNS3-all-in-one</w:t>
      </w:r>
    </w:p>
    <w:p>
      <w:pPr>
        <w:pStyle w:val="FirstParagraph"/>
      </w:pPr>
      <w:r>
        <w:t xml:space="preserve">Установил GNS3 с помощью менеджера пакетов Chocolatey. В процессе установки выбрал компоненты: MSVC Runtime, GNS3-Desktop, GNS3-VM, Tools (рис.</w:t>
      </w:r>
      <w:r>
        <w:t xml:space="preserve"> </w:t>
      </w:r>
      <w:r>
        <w:t xml:space="preserve">@fig:001</w:t>
      </w:r>
      <w:r>
        <w:t xml:space="preserve">):</w:t>
      </w:r>
    </w:p>
    <w:p>
      <w:pPr>
        <w:pStyle w:val="CaptionedFigure"/>
      </w:pPr>
      <w:r>
        <w:drawing>
          <wp:inline>
            <wp:extent cx="3733800" cy="2149391"/>
            <wp:effectExtent b="0" l="0" r="0" t="0"/>
            <wp:docPr descr="Выбор комплектации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комплектации GNS3</w:t>
      </w:r>
    </w:p>
    <w:p>
      <w:pPr>
        <w:pStyle w:val="BodyText"/>
      </w:pPr>
      <w:r>
        <w:t xml:space="preserve">После завершения установки появилось окно с подтверждением (рис.</w:t>
      </w:r>
      <w:r>
        <w:t xml:space="preserve"> </w:t>
      </w:r>
      <w:r>
        <w:t xml:space="preserve">@fig:002</w:t>
      </w:r>
      <w:r>
        <w:t xml:space="preserve">):</w:t>
      </w:r>
    </w:p>
    <w:p>
      <w:pPr>
        <w:pStyle w:val="CaptionedFigure"/>
      </w:pPr>
      <w:r>
        <w:drawing>
          <wp:inline>
            <wp:extent cx="3733800" cy="2915636"/>
            <wp:effectExtent b="0" l="0" r="0" t="0"/>
            <wp:docPr descr="Завершение установки GNS3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5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 GNS3</w:t>
      </w:r>
    </w:p>
    <w:bookmarkEnd w:id="27"/>
    <w:bookmarkStart w:id="40" w:name="установка-gns3-vm-для-virtualbox"/>
    <w:p>
      <w:pPr>
        <w:pStyle w:val="Heading3"/>
      </w:pPr>
      <w:r>
        <w:t xml:space="preserve">Установка GNS3 VM для VirtualBox</w:t>
      </w:r>
    </w:p>
    <w:p>
      <w:pPr>
        <w:pStyle w:val="FirstParagraph"/>
      </w:pPr>
      <w:r>
        <w:t xml:space="preserve">Скачал архив с образом виртуальной машины GNS3 VM с официального сайта. В VirtualBox выполнил импорт конфигурации (рис.</w:t>
      </w:r>
      <w:r>
        <w:t xml:space="preserve"> </w:t>
      </w:r>
      <w:r>
        <w:t xml:space="preserve">@fig:003</w:t>
      </w:r>
      <w:r>
        <w:t xml:space="preserve">):</w:t>
      </w:r>
    </w:p>
    <w:p>
      <w:pPr>
        <w:pStyle w:val="CaptionedFigure"/>
      </w:pPr>
      <w:r>
        <w:drawing>
          <wp:inline>
            <wp:extent cx="3733800" cy="2959994"/>
            <wp:effectExtent b="0" l="0" r="0" t="0"/>
            <wp:docPr descr="Настройка параметров импорта ВМ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9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импорта ВМ</w:t>
      </w:r>
    </w:p>
    <w:p>
      <w:pPr>
        <w:pStyle w:val="BodyText"/>
      </w:pPr>
      <w:r>
        <w:t xml:space="preserve">Включил вложенную виртуализацию с помощью команды (рис.</w:t>
      </w:r>
      <w:r>
        <w:t xml:space="preserve"> </w:t>
      </w:r>
      <w:r>
        <w:t xml:space="preserve">@fig:004</w:t>
      </w:r>
      <w:r>
        <w:t xml:space="preserve">):</w:t>
      </w:r>
    </w:p>
    <w:p>
      <w:pPr>
        <w:pStyle w:val="CaptionedFigure"/>
      </w:pPr>
      <w:r>
        <w:drawing>
          <wp:inline>
            <wp:extent cx="3733800" cy="2871009"/>
            <wp:effectExtent b="0" l="0" r="0" t="0"/>
            <wp:docPr descr="Включение вложенной виртуализаци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1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вложенной виртуализации</w:t>
      </w:r>
    </w:p>
    <w:p>
      <w:pPr>
        <w:pStyle w:val="BodyText"/>
      </w:pPr>
      <w:r>
        <w:t xml:space="preserve">Проверил, что опция включена (рис.</w:t>
      </w:r>
      <w:r>
        <w:t xml:space="preserve"> </w:t>
      </w:r>
      <w:r>
        <w:t xml:space="preserve">@fig:005</w:t>
      </w:r>
      <w:r>
        <w:t xml:space="preserve">):</w:t>
      </w:r>
    </w:p>
    <w:p>
      <w:pPr>
        <w:pStyle w:val="CaptionedFigure"/>
      </w:pPr>
      <w:r>
        <w:drawing>
          <wp:inline>
            <wp:extent cx="3733800" cy="1512276"/>
            <wp:effectExtent b="0" l="0" r="0" t="0"/>
            <wp:docPr descr="Проверка включения вложенной виртуализаци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2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включения вложенной виртуализации</w:t>
      </w:r>
    </w:p>
    <w:p>
      <w:pPr>
        <w:pStyle w:val="BodyText"/>
      </w:pPr>
      <w:r>
        <w:t xml:space="preserve">Настроил сетевой адаптер в режиме</w:t>
      </w:r>
      <w:r>
        <w:t xml:space="preserve"> </w:t>
      </w:r>
      <w:r>
        <w:t xml:space="preserve">“</w:t>
      </w:r>
      <w:r>
        <w:t xml:space="preserve">Виртуальный адаптер хоста</w:t>
      </w:r>
      <w:r>
        <w:t xml:space="preserve">”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@fig:006</w:t>
      </w:r>
      <w:r>
        <w:t xml:space="preserve">):</w:t>
      </w:r>
    </w:p>
    <w:p>
      <w:pPr>
        <w:pStyle w:val="CaptionedFigure"/>
      </w:pPr>
      <w:r>
        <w:drawing>
          <wp:inline>
            <wp:extent cx="3733800" cy="2586282"/>
            <wp:effectExtent b="0" l="0" r="0" t="0"/>
            <wp:docPr descr="Настройка сетевого адаптер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сетевого адаптера</w:t>
      </w:r>
    </w:p>
    <w:bookmarkEnd w:id="40"/>
    <w:bookmarkStart w:id="50" w:name="запуск-gns3-vm"/>
    <w:p>
      <w:pPr>
        <w:pStyle w:val="Heading3"/>
      </w:pPr>
      <w:r>
        <w:t xml:space="preserve">Запуск GNS3 VM</w:t>
      </w:r>
    </w:p>
    <w:p>
      <w:pPr>
        <w:pStyle w:val="FirstParagraph"/>
      </w:pPr>
      <w:r>
        <w:t xml:space="preserve">Запустил виртуальную машину GNS3 VM (рис.</w:t>
      </w:r>
      <w:r>
        <w:t xml:space="preserve"> </w:t>
      </w:r>
      <w:r>
        <w:t xml:space="preserve">@fig:007</w:t>
      </w:r>
      <w:r>
        <w:t xml:space="preserve">):</w:t>
      </w:r>
    </w:p>
    <w:p>
      <w:pPr>
        <w:pStyle w:val="CaptionedFigure"/>
      </w:pPr>
      <w:r>
        <w:drawing>
          <wp:inline>
            <wp:extent cx="3733800" cy="1791057"/>
            <wp:effectExtent b="0" l="0" r="0" t="0"/>
            <wp:docPr descr="Запуск GNS3 VM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GNS3 VM</w:t>
      </w:r>
    </w:p>
    <w:p>
      <w:pPr>
        <w:pStyle w:val="BodyText"/>
      </w:pPr>
      <w:r>
        <w:t xml:space="preserve">Запустил приложение GNS3 и выполнил подключение к серверу (рис.</w:t>
      </w:r>
      <w:r>
        <w:t xml:space="preserve"> </w:t>
      </w:r>
      <w:r>
        <w:t xml:space="preserve">@fig:008</w:t>
      </w:r>
      <w:r>
        <w:t xml:space="preserve">):</w:t>
      </w:r>
    </w:p>
    <w:p>
      <w:pPr>
        <w:pStyle w:val="CaptionedFigure"/>
      </w:pPr>
      <w:r>
        <w:drawing>
          <wp:inline>
            <wp:extent cx="3733800" cy="752084"/>
            <wp:effectExtent b="0" l="0" r="0" t="0"/>
            <wp:docPr descr="Успешное подключение к серверу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подключение к серверу</w:t>
      </w:r>
    </w:p>
    <w:p>
      <w:pPr>
        <w:pStyle w:val="BodyText"/>
      </w:pPr>
      <w:r>
        <w:t xml:space="preserve">В списке серверов отобразилась GNS3 VM (рис.</w:t>
      </w:r>
      <w:r>
        <w:t xml:space="preserve"> </w:t>
      </w:r>
      <w:r>
        <w:t xml:space="preserve">@fig:009</w:t>
      </w:r>
      <w:r>
        <w:t xml:space="preserve">):</w:t>
      </w:r>
    </w:p>
    <w:p>
      <w:pPr>
        <w:pStyle w:val="CaptionedFigure"/>
      </w:pPr>
      <w:r>
        <w:drawing>
          <wp:inline>
            <wp:extent cx="3733800" cy="2127014"/>
            <wp:effectExtent b="0" l="0" r="0" t="0"/>
            <wp:docPr descr="Список серверов в GNS3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серверов в GNS3</w:t>
      </w:r>
    </w:p>
    <w:bookmarkEnd w:id="50"/>
    <w:bookmarkEnd w:id="51"/>
    <w:bookmarkStart w:id="75" w:name="подключение-образов-оборудования"/>
    <w:p>
      <w:pPr>
        <w:pStyle w:val="Heading2"/>
      </w:pPr>
      <w:r>
        <w:t xml:space="preserve">Подключение образов оборудования</w:t>
      </w:r>
    </w:p>
    <w:bookmarkStart w:id="64" w:name="добавление-образа-маршрутизатора-frr"/>
    <w:p>
      <w:pPr>
        <w:pStyle w:val="Heading3"/>
      </w:pPr>
      <w:r>
        <w:t xml:space="preserve">Добавление образа маршрутизатора FRR</w:t>
      </w:r>
    </w:p>
    <w:p>
      <w:pPr>
        <w:pStyle w:val="FirstParagraph"/>
      </w:pPr>
      <w:r>
        <w:t xml:space="preserve">Добавил новый шаблон маршрутизатора FRR (рис.</w:t>
      </w:r>
      <w:r>
        <w:t xml:space="preserve"> </w:t>
      </w:r>
      <w:r>
        <w:t xml:space="preserve">@fig:010</w:t>
      </w:r>
      <w:r>
        <w:t xml:space="preserve">):</w:t>
      </w:r>
    </w:p>
    <w:p>
      <w:pPr>
        <w:pStyle w:val="CaptionedFigure"/>
      </w:pPr>
      <w:r>
        <w:drawing>
          <wp:inline>
            <wp:extent cx="3733800" cy="2085603"/>
            <wp:effectExtent b="0" l="0" r="0" t="0"/>
            <wp:docPr descr="Установка образа FRR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образа FRR</w:t>
      </w:r>
    </w:p>
    <w:p>
      <w:pPr>
        <w:pStyle w:val="BodyText"/>
      </w:pPr>
      <w:r>
        <w:t xml:space="preserve">Выполнил скачивание и импорт необходимых файлов (рис.</w:t>
      </w:r>
      <w:r>
        <w:t xml:space="preserve"> </w:t>
      </w:r>
      <w:r>
        <w:t xml:space="preserve">@fig:011</w:t>
      </w:r>
      <w:r>
        <w:t xml:space="preserve">):</w:t>
      </w:r>
    </w:p>
    <w:p>
      <w:pPr>
        <w:pStyle w:val="CaptionedFigure"/>
      </w:pPr>
      <w:r>
        <w:drawing>
          <wp:inline>
            <wp:extent cx="3733800" cy="3913152"/>
            <wp:effectExtent b="0" l="0" r="0" t="0"/>
            <wp:docPr descr="Импорт образа FRR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образа FRR</w:t>
      </w:r>
    </w:p>
    <w:p>
      <w:pPr>
        <w:pStyle w:val="BodyText"/>
      </w:pPr>
      <w:r>
        <w:t xml:space="preserve">Настроил параметры образа: во вкладке General settings выбрал</w:t>
      </w:r>
      <w:r>
        <w:t xml:space="preserve"> </w:t>
      </w:r>
      <w:r>
        <w:t xml:space="preserve">“</w:t>
      </w:r>
      <w:r>
        <w:t xml:space="preserve">Send the shutdown signal (ACPI)</w:t>
      </w:r>
      <w:r>
        <w:t xml:space="preserve">”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@fig:012</w:t>
      </w:r>
      <w:r>
        <w:t xml:space="preserve">):</w:t>
      </w:r>
    </w:p>
    <w:p>
      <w:pPr>
        <w:pStyle w:val="CaptionedFigure"/>
      </w:pPr>
      <w:r>
        <w:drawing>
          <wp:inline>
            <wp:extent cx="3733800" cy="3001480"/>
            <wp:effectExtent b="0" l="0" r="0" t="0"/>
            <wp:docPr descr="Настройка образа FRR - General settings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1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FRR - General settings</w:t>
      </w:r>
    </w:p>
    <w:p>
      <w:pPr>
        <w:pStyle w:val="BodyText"/>
      </w:pPr>
      <w:r>
        <w:t xml:space="preserve">Во вкладке HDD включил опцию</w:t>
      </w:r>
      <w:r>
        <w:t xml:space="preserve"> </w:t>
      </w:r>
      <w:r>
        <w:t xml:space="preserve">“</w:t>
      </w:r>
      <w:r>
        <w:t xml:space="preserve">Automatically create a config disk on HDD</w:t>
      </w:r>
      <w:r>
        <w:t xml:space="preserve">”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@fig:013</w:t>
      </w:r>
      <w:r>
        <w:t xml:space="preserve">):</w:t>
      </w:r>
    </w:p>
    <w:p>
      <w:pPr>
        <w:pStyle w:val="CaptionedFigure"/>
      </w:pPr>
      <w:r>
        <w:drawing>
          <wp:inline>
            <wp:extent cx="3733800" cy="2876592"/>
            <wp:effectExtent b="0" l="0" r="0" t="0"/>
            <wp:docPr descr="Настройка образа FRR - HDD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FRR - HDD</w:t>
      </w:r>
    </w:p>
    <w:bookmarkEnd w:id="64"/>
    <w:bookmarkStart w:id="74" w:name="добавление-образа-маршрутизатора-vyos"/>
    <w:p>
      <w:pPr>
        <w:pStyle w:val="Heading3"/>
      </w:pPr>
      <w:r>
        <w:t xml:space="preserve">Добавление образа маршрутизатора VyOS</w:t>
      </w:r>
    </w:p>
    <w:p>
      <w:pPr>
        <w:pStyle w:val="FirstParagraph"/>
      </w:pPr>
      <w:r>
        <w:t xml:space="preserve">Импортировал образ маршрутизатора VyOS (рис.</w:t>
      </w:r>
      <w:r>
        <w:t xml:space="preserve"> </w:t>
      </w:r>
      <w:r>
        <w:t xml:space="preserve">@fig:014</w:t>
      </w:r>
      <w:r>
        <w:t xml:space="preserve">):</w:t>
      </w:r>
    </w:p>
    <w:p>
      <w:pPr>
        <w:pStyle w:val="CaptionedFigure"/>
      </w:pPr>
      <w:r>
        <w:drawing>
          <wp:inline>
            <wp:extent cx="3733800" cy="3127456"/>
            <wp:effectExtent b="0" l="0" r="0" t="0"/>
            <wp:docPr descr="Импорт образа VyOS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образа VyOS</w:t>
      </w:r>
    </w:p>
    <w:p>
      <w:pPr>
        <w:pStyle w:val="BodyText"/>
      </w:pPr>
      <w:r>
        <w:t xml:space="preserve">Изменил отображаемый символ устройства для VyOS (рис.</w:t>
      </w:r>
      <w:r>
        <w:t xml:space="preserve"> </w:t>
      </w:r>
      <w:r>
        <w:t xml:space="preserve">@fig:015</w:t>
      </w:r>
      <w:r>
        <w:t xml:space="preserve">):</w:t>
      </w:r>
    </w:p>
    <w:p>
      <w:pPr>
        <w:pStyle w:val="CaptionedFigure"/>
      </w:pPr>
      <w:r>
        <w:drawing>
          <wp:inline>
            <wp:extent cx="3733800" cy="3371685"/>
            <wp:effectExtent b="0" l="0" r="0" t="0"/>
            <wp:docPr descr="Изменение символа устройства VyOS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1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символа устройства VyOS</w:t>
      </w:r>
    </w:p>
    <w:p>
      <w:pPr>
        <w:pStyle w:val="BodyText"/>
      </w:pPr>
      <w:r>
        <w:t xml:space="preserve">В рабочем пространстве GNS3 отобразились оба образа маршрутизаторов (рис.</w:t>
      </w:r>
      <w:r>
        <w:t xml:space="preserve"> </w:t>
      </w:r>
      <w:r>
        <w:t xml:space="preserve">@fig:016</w:t>
      </w:r>
      <w:r>
        <w:t xml:space="preserve">):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обавленные образы маршрутизаторов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Добавленные образы маршрутизаторов</w:t>
      </w:r>
    </w:p>
    <w:bookmarkEnd w:id="74"/>
    <w:bookmarkEnd w:id="75"/>
    <w:bookmarkEnd w:id="76"/>
    <w:bookmarkStart w:id="7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была произведена установка и настройка GNS3 и сопутствующего программного обеспечения. Импортированы образы маршрутизаторов FRR и VyOS.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Талебу Тенке Франк Устон</dc:creator>
  <cp:keywords/>
  <dcterms:created xsi:type="dcterms:W3CDTF">2026-03-18T11:34:16Z</dcterms:created>
  <dcterms:modified xsi:type="dcterms:W3CDTF">2026-03-18T11:34:16Z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1032224534@pfur.ru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