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r>
        <w:t>Périmètre fonctionnel et critères de recette — SMB-Relève 5.1.4</w:t>
      </w:r>
    </w:p>
    <w:p>
      <w:r>
        <w:t>Édition du 21/10/2026 — APK 5.1.4, compilation 20. Documents descriptifs de la version livrée ; aucune modification ni nouvelle compilation de l’APK.</w:t>
      </w:r>
    </w:p>
    <w:p>
      <w:pPr>
        <w:pStyle w:val="Heading1"/>
      </w:pPr>
      <w:r>
        <w:t>1. Objet et périmètre</w:t>
      </w:r>
    </w:p>
    <w:p>
      <w:r>
        <w:t>Application Android de relève terrain des compteurs d’eau (EA) et d’électricité basse tension (BT), avec saisie hors connexion, catalogues d’anomalies et de types locaux, photos, localisation, contrôles de consommation et déchargement vers Drive.</w:t>
      </w:r>
    </w:p>
    <w:p>
      <w:r>
        <w:t>La version documentée est celle déjà livrée. Le problème photo Oppo fait partie des points ouverts, pas d’une correction déclarée réalisée. L’archive privée, l’export d’exploitation, le modèle d’import et la sauvegarde de restauration ont des usages distincts.</w:t>
      </w:r>
    </w:p>
    <w:p>
      <w:pPr>
        <w:pStyle w:val="Heading1"/>
      </w:pPr>
      <w:r>
        <w:t>2. Acteurs et accès</w:t>
      </w:r>
    </w:p>
    <w:p>
      <w:r>
        <w:t>Le releveur travaille sur ses données affectées et selon les options fixées par l’administrateur. L’administrateur gère les comptes, noms, options, données et archives. Les actions sur les archives sont réservées à un rôle administrateur vérifié en base.</w:t>
      </w:r>
    </w:p>
    <w:p>
      <w:r>
        <w:t>L’interface affiche SMB-Relève (5.1.4), puis le rôle et le nom. Les fonctions masquées ne doivent pas être accessibles par le parcours du releveur.</w:t>
      </w:r>
    </w:p>
    <w:p>
      <w:pPr>
        <w:pStyle w:val="Heading1"/>
      </w:pPr>
      <w:r>
        <w:t>3. Chargement et qualité des données</w:t>
      </w:r>
    </w:p>
    <w:p>
      <w:r>
        <w:t>Le classeur d’import doit contenir exactement trois feuilles : Releve, Anomalie, type_local. Alternative : ZIP contenant exactement Releve.csv, Anomalie.csv et type_local.csv, CSV UTF-8 séparés par point-virgule. Les trois sources sont validées avant remplacement et celui-ci nécessite une confirmation explicite.</w:t>
      </w:r>
    </w:p>
    <w:p>
      <w:r>
        <w:t>La limite du fichier d’import est de 20 Mo dans le lecteur de lots. Les identifiants, contrats, téléphones et numéros de compteur doivent être préparés comme texte pour conserver les zéros initiaux. Le fichier d’un autre releveur est refusé dans le chargement affecté au compte. Utiliser le modèle livré pour les en-têtes et les formats.</w:t>
      </w:r>
    </w:p>
    <w:p>
      <w:pPr>
        <w:pStyle w:val="Heading2"/>
      </w:pPr>
      <w:r>
        <w:t>Feuille Releve</w:t>
      </w:r>
    </w:p>
    <w:p>
      <w:r>
        <w:t>Reseau ; Contrat ; Nom ; Adresse ; UR ; Tournee ; Numero compteur ; Produit ; Ancien index ; Date ancienne releve ; Telephone ; Type local ; Statut photo ; Moyenne journaliere ; Taux variation ; Identifiant ; Ordre de releve ; Identifiant releveur</w:t>
      </w:r>
    </w:p>
    <w:p>
      <w:pPr>
        <w:pStyle w:val="Heading2"/>
      </w:pPr>
      <w:r>
        <w:t>Feuille Anomalie</w:t>
      </w:r>
    </w:p>
    <w:p>
      <w:r>
        <w:t>Code anomalie ; Libelle anomalie ; Reseau ; Cas consommation ; Photo obligatoire ; Deuxieme passage</w:t>
      </w:r>
    </w:p>
    <w:p>
      <w:pPr>
        <w:pStyle w:val="Heading2"/>
      </w:pPr>
      <w:r>
        <w:t>Feuille type_local</w:t>
      </w:r>
    </w:p>
    <w:p>
      <w:r>
        <w:t>Code type local ; Libelle type local</w:t>
      </w:r>
    </w:p>
    <w:p>
      <w:pPr>
        <w:pStyle w:val="Heading1"/>
      </w:pPr>
      <w:r>
        <w:t>4. Recherche, sélection et navigation</w:t>
      </w:r>
    </w:p>
    <w:p>
      <w:r>
        <w:t>Les sélections tiennent compte du compte, de la campagne, de la tournée et de l’UR. L’ordre de passage est l’ordre numérique de relève chargé, puis l’identifiant technique en cas d’égalité. Les listes sont paginées et les recherches limitées nécessitent un affinement si trop de résultats.</w:t>
      </w:r>
    </w:p>
    <w:p>
      <w:r>
        <w:t>Ouvrir un résultat de recherche ne limite pas la navigation à ce résultat : la restriction textuelle et de statut est retirée. Toutes les UR reste applicable ; un filtre UR explicite est respecté/adapté à la sélection. Après validation, ouvrir le compteur suivant dans l’ordre, même déjà visité si présent dans la sélection.</w:t>
      </w:r>
    </w:p>
    <w:p>
      <w:r>
        <w:t>Après sortie du formulaire ou reconnexion explicite, reprendre le premier compteur sans date de relève dans la sélection. Une visite sans index mais avec date est déjà visitée. La fin de tournée n’est annoncée qu’après enregistrement du dernier compteur réel.</w:t>
      </w:r>
    </w:p>
    <w:p>
      <w:pPr>
        <w:pStyle w:val="Heading1"/>
      </w:pPr>
      <w:r>
        <w:t>5. Formulaire et informations</w:t>
      </w:r>
    </w:p>
    <w:p>
      <w:r>
        <w:t>Afficher client/adresse, identifiant en gras 28, ordre à côté, compteur mis en évidence et réseau : eau en bleu, électricité en rouge. Afficher ancienne date puis nombre de jours en gras 40 : 29 à 31 vert, 28 ou 32 orange, hors de cet intervalle rouge. Le masquage de l’ancien index dépend de l’option administrateur.</w:t>
      </w:r>
    </w:p>
    <w:p>
      <w:r>
        <w:t>Le clic sur le bloc compteur ouvre les détails enregistrés : contrat, client/adresse, UR/tournée, identifiant, ancien index si autorisé, ancienne date, téléphone/type importés, nouvel index et libellé d’anomalie s’ils existent. Le brouillon non validé n’est pas présenté comme enregistré.</w:t>
      </w:r>
    </w:p>
    <w:p>
      <w:r>
        <w:t>La modification d’UR se fait par clic sur UR/Tournée ; la nouvelle valeur est en majuscules et ne devient persistante qu’à la validation de la relève. L’UR d’origine est conservée. Les exports incluent nouvelle UR et code/libellé du nouveau type local.</w:t>
      </w:r>
    </w:p>
    <w:p>
      <w:pPr>
        <w:pStyle w:val="Heading1"/>
      </w:pPr>
      <w:r>
        <w:t>6. Contrôles de consommation et anomalies</w:t>
      </w:r>
    </w:p>
    <w:p>
      <w:r>
        <w:t>Consommation = nouvel index − ancien index. Jours = date du jour − ancienne date. CMJ actuelle = consommation / jours lorsque jours &gt; 0. Une date antérieure à l’ancienne date ou une nouvelle relève le même jour avec référence entraîne un refus selon le contrôle de date.</w:t>
      </w:r>
    </w:p>
    <w:p>
      <w:r>
        <w:t>Si référence CMJ et taux existent et consommation ≥ 0 : limites journalières = référence × (1 ± taux/100). Comparer la consommation aux limites multipliées par le nombre de jours ; limites incluses acceptées. Exemple : référence 10, taux 30 %, 30 jours → plage 210 à 390. Hors plage : contrôle de hausse/baisse.</w:t>
      </w:r>
    </w:p>
    <w:p>
      <w:r>
        <w:t>Un index négatif déclenche le contrôle d’index inférieur. L’égalité est ZERO, pas un code EGALITE distinct. ZERO peut déclencher une baisse hors seuil. La confirmation d’index exige deux saisies consécutives identiques ; un ancien essai non consécutif ne suffit pas. Les contrôles anormaux exigent photo ; le négatif exige aussi le commentaire justificatif. Le choix d’anomalie reste obligatoire avant photo/validation.</w:t>
      </w:r>
    </w:p>
    <w:tbl>
      <w:tblPr>
        <w:tblStyle w:val="LightShading-Accent1"/>
        <w:tblW w:type="auto" w:w="0"/>
        <w:tblLook w:firstColumn="1" w:firstRow="1" w:lastColumn="0" w:lastRow="0" w:noHBand="0" w:noVBand="1" w:val="04A0"/>
      </w:tblPr>
      <w:tblGrid>
        <w:gridCol w:w="4320"/>
        <w:gridCol w:w="4320"/>
      </w:tblGrid>
      <w:tr>
        <w:tc>
          <w:tcPr>
            <w:tcW w:type="dxa" w:w="4320"/>
          </w:tcPr>
          <w:p>
            <w:r>
              <w:t>Code catalogue</w:t>
            </w:r>
          </w:p>
        </w:tc>
        <w:tc>
          <w:tcPr>
            <w:tcW w:type="dxa" w:w="4320"/>
          </w:tcPr>
          <w:p>
            <w:r>
              <w:t>Signification</w:t>
            </w:r>
          </w:p>
        </w:tc>
      </w:tr>
      <w:tr>
        <w:tc>
          <w:tcPr>
            <w:tcW w:type="dxa" w:w="4320"/>
          </w:tcPr>
          <w:p>
            <w:r>
              <w:t>NEGATIF</w:t>
            </w:r>
          </w:p>
        </w:tc>
        <w:tc>
          <w:tcPr>
            <w:tcW w:type="dxa" w:w="4320"/>
          </w:tcPr>
          <w:p>
            <w:r>
              <w:t>Nouvel index inférieur à l’ancien.</w:t>
            </w:r>
          </w:p>
        </w:tc>
      </w:tr>
      <w:tr>
        <w:tc>
          <w:tcPr>
            <w:tcW w:type="dxa" w:w="4320"/>
          </w:tcPr>
          <w:p>
            <w:r>
              <w:t>ZERO</w:t>
            </w:r>
          </w:p>
        </w:tc>
        <w:tc>
          <w:tcPr>
            <w:tcW w:type="dxa" w:w="4320"/>
          </w:tcPr>
          <w:p>
            <w:r>
              <w:t>Index égal, consommation nulle.</w:t>
            </w:r>
          </w:p>
        </w:tc>
      </w:tr>
      <w:tr>
        <w:tc>
          <w:tcPr>
            <w:tcW w:type="dxa" w:w="4320"/>
          </w:tcPr>
          <w:p>
            <w:r>
              <w:t>POSITIF</w:t>
            </w:r>
          </w:p>
        </w:tc>
        <w:tc>
          <w:tcPr>
            <w:tcW w:type="dxa" w:w="4320"/>
          </w:tcPr>
          <w:p>
            <w:r>
              <w:t>Nouvel index supérieur à l’ancien.</w:t>
            </w:r>
          </w:p>
        </w:tc>
      </w:tr>
      <w:tr>
        <w:tc>
          <w:tcPr>
            <w:tcW w:type="dxa" w:w="4320"/>
          </w:tcPr>
          <w:p>
            <w:r>
              <w:t>SANS_INDEX</w:t>
            </w:r>
          </w:p>
        </w:tc>
        <w:tc>
          <w:tcPr>
            <w:tcW w:type="dxa" w:w="4320"/>
          </w:tcPr>
          <w:p>
            <w:r>
              <w:t>Nouvel index non saisi.</w:t>
            </w:r>
          </w:p>
        </w:tc>
      </w:tr>
      <w:tr>
        <w:tc>
          <w:tcPr>
            <w:tcW w:type="dxa" w:w="4320"/>
          </w:tcPr>
          <w:p>
            <w:r>
              <w:t>SANS_REFERENCE</w:t>
            </w:r>
          </w:p>
        </w:tc>
        <w:tc>
          <w:tcPr>
            <w:tcW w:type="dxa" w:w="4320"/>
          </w:tcPr>
          <w:p>
            <w:r>
              <w:t>Ancien index absent, consommation non calculable.</w:t>
            </w:r>
          </w:p>
        </w:tc>
      </w:tr>
    </w:tbl>
    <w:p>
      <w:r>
        <w:t>Le catalogue filtre les anomalies selon EA/BT et le cas. Utiliser | pour plusieurs valeurs, par exemple ZERO|POSITIF. L’absence de couverture ZERO explique une liste vide en cas d’égalité. Pour un compteur hors liste, proposer toutes les anomalies du réseau choisi.</w:t>
      </w:r>
    </w:p>
    <w:p>
      <w:pPr>
        <w:pStyle w:val="Heading1"/>
      </w:pPr>
      <w:r>
        <w:t>7. Téléphone, hors liste, photo et GPS</w:t>
      </w:r>
    </w:p>
    <w:p>
      <w:r>
        <w:t>Une modification de téléphone nécessite deux saisies consécutives identiques. Le formulaire hors liste propose réseau EA/BT par liste, BT par défaut, et UR en majuscules.</w:t>
      </w:r>
    </w:p>
    <w:p>
      <w:r>
        <w:t>La photo est obligatoire pour tous les compteurs si l’option globale est active ; sinon selon les règles courantes, le statut photo importé, l’anomalie et les contrôles de consommation. Le traitement photo refuse un fichier absent ou supérieur à 30 Mio ; « Photo non valide » correspond à l’impossibilité de lire les dimensions de l’image. La cause précise sur Oppo reste à diagnostiquer. La photo décodée est réduite puis recompressée en JPEG.</w:t>
      </w:r>
    </w:p>
    <w:p>
      <w:r>
        <w:t>GPS exporté : X = longitude et Y = latitude, avec précision lorsque disponible. Les autorisations et le comportement réel sans signal doivent être vérifiés sur téléphone ; ne pas présenter une précision simulée comme une mesure terrain.</w:t>
      </w:r>
    </w:p>
    <w:p>
      <w:pPr>
        <w:pStyle w:val="Heading1"/>
      </w:pPr>
      <w:r>
        <w:t>8. Options administrateur pour le releveur</w:t>
      </w:r>
    </w:p>
    <w:tbl>
      <w:tblPr>
        <w:tblStyle w:val="LightShading-Accent1"/>
        <w:tblW w:type="auto" w:w="0"/>
        <w:tblLook w:firstColumn="1" w:firstRow="1" w:lastColumn="0" w:lastRow="0" w:noHBand="0" w:noVBand="1" w:val="04A0"/>
      </w:tblPr>
      <w:tblGrid>
        <w:gridCol w:w="4320"/>
        <w:gridCol w:w="4320"/>
      </w:tblGrid>
      <w:tr>
        <w:tc>
          <w:tcPr>
            <w:tcW w:type="dxa" w:w="4320"/>
          </w:tcPr>
          <w:p>
            <w:r>
              <w:t>Groupe</w:t>
            </w:r>
          </w:p>
        </w:tc>
        <w:tc>
          <w:tcPr>
            <w:tcW w:type="dxa" w:w="4320"/>
          </w:tcPr>
          <w:p>
            <w:r>
              <w:t>Cases à cocher</w:t>
            </w:r>
          </w:p>
        </w:tc>
      </w:tr>
      <w:tr>
        <w:tc>
          <w:tcPr>
            <w:tcW w:type="dxa" w:w="4320"/>
          </w:tcPr>
          <w:p>
            <w:r>
              <w:t>Menu</w:t>
            </w:r>
          </w:p>
        </w:tc>
        <w:tc>
          <w:tcPr>
            <w:tcW w:type="dxa" w:w="4320"/>
          </w:tcPr>
          <w:p>
            <w:r>
              <w:t>Afficher tableau de bord ; Mes sauvegardes ; Exporter Excel/CSV/photos.</w:t>
            </w:r>
          </w:p>
        </w:tc>
      </w:tr>
      <w:tr>
        <w:tc>
          <w:tcPr>
            <w:tcW w:type="dxa" w:w="4320"/>
          </w:tcPr>
          <w:p>
            <w:r>
              <w:t>Chargement</w:t>
            </w:r>
          </w:p>
        </w:tc>
        <w:tc>
          <w:tcPr>
            <w:tcW w:type="dxa" w:w="4320"/>
          </w:tcPr>
          <w:p>
            <w:r>
              <w:t>Afficher import depuis téléphone ; import des trois CSV ; bouton sauvegarder/exporter ; bouton envoyer les relevés.</w:t>
            </w:r>
          </w:p>
        </w:tc>
      </w:tr>
      <w:tr>
        <w:tc>
          <w:tcPr>
            <w:tcW w:type="dxa" w:w="4320"/>
          </w:tcPr>
          <w:p>
            <w:r>
              <w:t>Autres</w:t>
            </w:r>
          </w:p>
        </w:tc>
        <w:tc>
          <w:tcPr>
            <w:tcW w:type="dxa" w:w="4320"/>
          </w:tcPr>
          <w:p>
            <w:r>
              <w:t>Photo obligatoire pour tous ; afficher ancien index ; autoriser modification des compteurs déjà relevés.</w:t>
            </w:r>
          </w:p>
        </w:tc>
      </w:tr>
    </w:tbl>
    <w:p>
      <w:r>
        <w:t>Par défaut : options d’accès actives et photo systématique désactivée. Une visite dont la date est renseignée devient non modifiable pour le releveur si l’autorisation de modification est désactivée ; l’administrateur conserve son accès.</w:t>
      </w:r>
    </w:p>
    <w:p>
      <w:pPr>
        <w:pStyle w:val="Heading1"/>
      </w:pPr>
      <w:r>
        <w:t>9. Déchargement, sauvegardes et Drive</w:t>
      </w:r>
    </w:p>
    <w:p>
      <w:r>
        <w:t>Le déchargement Drive porte uniquement sur les visites ayant une date de relève. Il comprend les données XLSX, dont code/libellé anomalie, code/libellé nouveau type local et nouvelle UR, et les photos en ZIP séparés par lots. Un déchargement ne supprime pas automatiquement les données locales.</w:t>
      </w:r>
    </w:p>
    <w:p>
      <w:r>
        <w:t>Nom d’export basé sur Releveur_Nom_ddMMyyyy_HHmmss_SSS. UUID : identifiant technique de relève ; horodatage système : millisecondes depuis le 01/01/1970 UTC. Un lien photo relatif dans Excel suppose l’extraction du ZIP et une organisation stable des dossiers ; la création automatique de liens cliquables ne constitue pas une fonction promise de 5.1.4.</w:t>
      </w:r>
    </w:p>
    <w:p>
      <w:r>
        <w:t>Drive utilise une URL Apps Script /exec et une clé de transfert propre au releveur, pas son mot de passe Google. Côté service : FOLDER_ID et TOKEN_identifiant. Dans l’APK, saisir la valeur de TOKEN, pas son nom. Une clé laissée vide lors d’une modification de configuration conserve celle déjà chiffrée ; le champ vide ne prouve donc pas sa suppression.</w:t>
      </w:r>
    </w:p>
    <w:p>
      <w:r>
        <w:t>Le protocole signé est le protocole 3, compatible avec le service 5.1.2/5.1.3 déjà en protocole 3. Maximum 6 Mio par fichier envoyé. Les fichiers de transfert sont privés ; pas de copie automatique dans Téléchargements pour ce parcours. Une confirmation de réception est nécessaire ; un échec conserve les données. Le fonctionnement Google réel reste à recetter.</w:t>
      </w:r>
    </w:p>
    <w:p>
      <w:pPr>
        <w:pStyle w:val="Heading1"/>
      </w:pPr>
      <w:r>
        <w:t>10. Archives privées et suppressions</w:t>
      </w:r>
    </w:p>
    <w:p>
      <w:r>
        <w:t>Chaque validation datée alimente un journal transactionnel indépendant de la tournée et un miroir TXT privé. Une nouvelle validation ajoute une version ; il ne s’agit pas seulement du dernier état. L’archive comporte 15 colonnes : réseau, tournée, contrat, UR d’origine, identifiant/nom du releveur effectif, nouvel index, libellé anomalie, date/heure, X/Y, nouveau téléphone, code/libellé nouveau type local et nouvelle UR. Elle ne contient pas de photos.</w:t>
      </w:r>
    </w:p>
    <w:p>
      <w:r>
        <w:t>Seul l’administrateur envoie une archive XLSX via la configuration du releveur concerné ou la supprime. Le nom commence par Archive_Releveur_. Un compte supprimé reste sélectionnable si son archive existe. Ne révoquer son TOKEN serveur qu’après les envois souhaités.</w:t>
      </w:r>
    </w:p>
    <w:tbl>
      <w:tblPr>
        <w:tblStyle w:val="LightShading-Accent1"/>
        <w:tblW w:type="auto" w:w="0"/>
        <w:tblLook w:firstColumn="1" w:firstRow="1" w:lastColumn="0" w:lastRow="0" w:noHBand="0" w:noVBand="1" w:val="04A0"/>
      </w:tblPr>
      <w:tblGrid>
        <w:gridCol w:w="4320"/>
        <w:gridCol w:w="4320"/>
      </w:tblGrid>
      <w:tr>
        <w:tc>
          <w:tcPr>
            <w:tcW w:type="dxa" w:w="4320"/>
          </w:tcPr>
          <w:p>
            <w:r>
              <w:t>Action</w:t>
            </w:r>
          </w:p>
        </w:tc>
        <w:tc>
          <w:tcPr>
            <w:tcW w:type="dxa" w:w="4320"/>
          </w:tcPr>
          <w:p>
            <w:r>
              <w:t>Effet et conservation</w:t>
            </w:r>
          </w:p>
        </w:tc>
      </w:tr>
      <w:tr>
        <w:tc>
          <w:tcPr>
            <w:tcW w:type="dxa" w:w="4320"/>
          </w:tcPr>
          <w:p>
            <w:r>
              <w:t>Purger données chargées</w:t>
            </w:r>
          </w:p>
        </w:tc>
        <w:tc>
          <w:tcPr>
            <w:tcW w:type="dxa" w:w="4320"/>
          </w:tcPr>
          <w:p>
            <w:r>
              <w:t>Retire les données de tournée visitées/non visitées du périmètre ; conserve comptes et archive privée.</w:t>
            </w:r>
          </w:p>
        </w:tc>
      </w:tr>
      <w:tr>
        <w:tc>
          <w:tcPr>
            <w:tcW w:type="dxa" w:w="4320"/>
          </w:tcPr>
          <w:p>
            <w:r>
              <w:t>Supprimer données d’un releveur</w:t>
            </w:r>
          </w:p>
        </w:tc>
        <w:tc>
          <w:tcPr>
            <w:tcW w:type="dxa" w:w="4320"/>
          </w:tcPr>
          <w:p>
            <w:r>
              <w:t>Retire sa tournée et éléments associés ; conserve compte, archive et configuration Drive.</w:t>
            </w:r>
          </w:p>
        </w:tc>
      </w:tr>
      <w:tr>
        <w:tc>
          <w:tcPr>
            <w:tcW w:type="dxa" w:w="4320"/>
          </w:tcPr>
          <w:p>
            <w:r>
              <w:t>Supprimer le releveur</w:t>
            </w:r>
          </w:p>
        </w:tc>
        <w:tc>
          <w:tcPr>
            <w:tcW w:type="dxa" w:w="4320"/>
          </w:tcPr>
          <w:p>
            <w:r>
              <w:t>Retire compte et données de tournée ; conserve archive et clé chiffrée pour envoi final.</w:t>
            </w:r>
          </w:p>
        </w:tc>
      </w:tr>
      <w:tr>
        <w:tc>
          <w:tcPr>
            <w:tcW w:type="dxa" w:w="4320"/>
          </w:tcPr>
          <w:p>
            <w:r>
              <w:t>Supprimer archive</w:t>
            </w:r>
          </w:p>
        </w:tc>
        <w:tc>
          <w:tcPr>
            <w:tcW w:type="dxa" w:w="4320"/>
          </w:tcPr>
          <w:p>
            <w:r>
              <w:t>Retire seulement son journal et fichiers privés d’archive ; ne supprime pas les copies déjà reçues dans Drive.</w:t>
            </w:r>
          </w:p>
        </w:tc>
      </w:tr>
      <w:tr>
        <w:tc>
          <w:tcPr>
            <w:tcW w:type="dxa" w:w="4320"/>
          </w:tcPr>
          <w:p>
            <w:r>
              <w:t>Désinstaller / Effacer les données Android</w:t>
            </w:r>
          </w:p>
        </w:tc>
        <w:tc>
          <w:tcPr>
            <w:tcW w:type="dxa" w:w="4320"/>
          </w:tcPr>
          <w:p>
            <w:r>
              <w:t>Supprime aussi les archives privées et configurations locales ; ce n’est pas une purge métier.</w:t>
            </w:r>
          </w:p>
        </w:tc>
      </w:tr>
    </w:tbl>
    <w:p>
      <w:pPr>
        <w:pStyle w:val="Heading1"/>
      </w:pPr>
      <w:r>
        <w:t>11. Exigences de fonctionnement</w:t>
      </w:r>
    </w:p>
    <w:p>
      <w:r>
        <w:t>Android minimum 8 (API 26), cible API 35. La mise à jour compatible conserve package/certificat ; ne pas désinstaller pour une simple mise à jour. Les tâches lourdes utilisent un traitement en arrière-plan et un indicateur vert animé sans pourcentage. La navigation est bloquée pendant l’opération.</w:t>
      </w:r>
    </w:p>
    <w:p>
      <w:r>
        <w:t>Pagination, recherches différées, lecture/export progressifs et libération de caches sous pression mémoire réduisent la charge. Aucun effacement périodique des données ni promesse d’absence de lenteur sur tous les téléphones. Les 25 000 compteurs synthétiques ne certifient pas le temps d’import d’un gros XLSX réel.</w:t>
      </w:r>
    </w:p>
    <w:p>
      <w:pPr>
        <w:pStyle w:val="Heading1"/>
      </w:pPr>
      <w:r>
        <w:t>Vérifications disponibles et limites</w:t>
      </w:r>
    </w:p>
    <w:p>
      <w:r>
        <w:t>Les rapports de livraison existants indiquent : 60 tests JVM, 23 contrôles protocole/téléphone, 25 tests Apps Script avec Google simulé et 229 contrôles Android en émulateur. Ces résultats ne sont pas de nouveaux essais exécutés pour la présente documentation.</w:t>
      </w:r>
    </w:p>
    <w:p>
      <w:r>
        <w:t>Les 229 contrôles Android comprennent 154 régressions, 32 archives/migrations, 32 navigation/indicateur, 10 contrôles de charge et 1 scénario visuel. Les captures contiennent des données fictives. Caméra physique, GPS réel, réception Drive réelle et parc de téléphones ne sont pas validés par ces seuls résultats.</w:t>
      </w:r>
    </w:p>
    <w:p>
      <w:pPr>
        <w:pStyle w:val="Heading1"/>
      </w:pPr>
      <w:r>
        <w:t>Recette sur téléphone — fiche à compléter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Réf.</w:t>
            </w:r>
          </w:p>
        </w:tc>
        <w:tc>
          <w:tcPr>
            <w:tcW w:type="dxa" w:w="2160"/>
          </w:tcPr>
          <w:p>
            <w:r>
              <w:t>Sujet / essai</w:t>
            </w:r>
          </w:p>
        </w:tc>
        <w:tc>
          <w:tcPr>
            <w:tcW w:type="dxa" w:w="2160"/>
          </w:tcPr>
          <w:p>
            <w:r>
              <w:t>Résultat attendu / procédure</w:t>
            </w:r>
          </w:p>
        </w:tc>
        <w:tc>
          <w:tcPr>
            <w:tcW w:type="dxa" w:w="2160"/>
          </w:tcPr>
          <w:p>
            <w:r>
              <w:t>Statut initial</w:t>
            </w:r>
          </w:p>
        </w:tc>
      </w:tr>
      <w:tr>
        <w:tc>
          <w:tcPr>
            <w:tcW w:type="dxa" w:w="2160"/>
          </w:tcPr>
          <w:p>
            <w:r>
              <w:t>T01</w:t>
            </w:r>
          </w:p>
        </w:tc>
        <w:tc>
          <w:tcPr>
            <w:tcW w:type="dxa" w:w="2160"/>
          </w:tcPr>
          <w:p>
            <w:r>
              <w:t>Mise à jour</w:t>
            </w:r>
          </w:p>
        </w:tc>
        <w:tc>
          <w:tcPr>
            <w:tcW w:type="dxa" w:w="2160"/>
          </w:tcPr>
          <w:p>
            <w:r>
              <w:t>Installer par-dessus la version compatible ; vérifier comptes, données, archive et clé conservés.</w:t>
            </w:r>
          </w:p>
        </w:tc>
        <w:tc>
          <w:tcPr>
            <w:tcW w:type="dxa" w:w="2160"/>
          </w:tcPr>
          <w:p>
            <w:r>
              <w:t>À vérifier sur chaque modèle/version Android.</w:t>
            </w:r>
          </w:p>
        </w:tc>
      </w:tr>
      <w:tr>
        <w:tc>
          <w:tcPr>
            <w:tcW w:type="dxa" w:w="2160"/>
          </w:tcPr>
          <w:p>
            <w:r>
              <w:t>T02</w:t>
            </w:r>
          </w:p>
        </w:tc>
        <w:tc>
          <w:tcPr>
            <w:tcW w:type="dxa" w:w="2160"/>
          </w:tcPr>
          <w:p>
            <w:r>
              <w:t>Photo Oppo Reno 7</w:t>
            </w:r>
          </w:p>
        </w:tc>
        <w:tc>
          <w:tcPr>
            <w:tcW w:type="dxa" w:w="2160"/>
          </w:tcPr>
          <w:p>
            <w:r>
              <w:t>Prendre, confirmer, afficher puis enregistrer une photo ; relancer et vérifier sa conservation.</w:t>
            </w:r>
          </w:p>
        </w:tc>
        <w:tc>
          <w:tcPr>
            <w:tcW w:type="dxa" w:w="2160"/>
          </w:tcPr>
          <w:p>
            <w:r>
              <w:t>Anomalie signalée : « Photo non valide ». Non résolue dans ce travail documentaire.</w:t>
            </w:r>
          </w:p>
        </w:tc>
      </w:tr>
      <w:tr>
        <w:tc>
          <w:tcPr>
            <w:tcW w:type="dxa" w:w="2160"/>
          </w:tcPr>
          <w:p>
            <w:r>
              <w:t>T03</w:t>
            </w:r>
          </w:p>
        </w:tc>
        <w:tc>
          <w:tcPr>
            <w:tcW w:type="dxa" w:w="2160"/>
          </w:tcPr>
          <w:p>
            <w:r>
              <w:t>Photo Samsung / Motorola</w:t>
            </w:r>
          </w:p>
        </w:tc>
        <w:tc>
          <w:tcPr>
            <w:tcW w:type="dxa" w:w="2160"/>
          </w:tcPr>
          <w:p>
            <w:r>
              <w:t>Répéter prise, validation, consultation, sortie et reprise ; vérifier orientation et correspondance compteur/photo.</w:t>
            </w:r>
          </w:p>
        </w:tc>
        <w:tc>
          <w:tcPr>
            <w:tcW w:type="dxa" w:w="2160"/>
          </w:tcPr>
          <w:p>
            <w:r>
              <w:t>Fonctionnement rapporté par l’utilisateur ; pas de recette physique réalisée ici.</w:t>
            </w:r>
          </w:p>
        </w:tc>
      </w:tr>
      <w:tr>
        <w:tc>
          <w:tcPr>
            <w:tcW w:type="dxa" w:w="2160"/>
          </w:tcPr>
          <w:p>
            <w:r>
              <w:t>T04</w:t>
            </w:r>
          </w:p>
        </w:tc>
        <w:tc>
          <w:tcPr>
            <w:tcW w:type="dxa" w:w="2160"/>
          </w:tcPr>
          <w:p>
            <w:r>
              <w:t>GPS réel</w:t>
            </w:r>
          </w:p>
        </w:tc>
        <w:tc>
          <w:tcPr>
            <w:tcW w:type="dxa" w:w="2160"/>
          </w:tcPr>
          <w:p>
            <w:r>
              <w:t>Autoriser la localisation ; relever un point connu, comparer longitude/latitude et précision ; tester absence de signal.</w:t>
            </w:r>
          </w:p>
        </w:tc>
        <w:tc>
          <w:tcPr>
            <w:tcW w:type="dxa" w:w="2160"/>
          </w:tcPr>
          <w:p>
            <w:r>
              <w:t>GPS simulé dans les tests ; précision réelle à confirmer.</w:t>
            </w:r>
          </w:p>
        </w:tc>
      </w:tr>
      <w:tr>
        <w:tc>
          <w:tcPr>
            <w:tcW w:type="dxa" w:w="2160"/>
          </w:tcPr>
          <w:p>
            <w:r>
              <w:t>T05</w:t>
            </w:r>
          </w:p>
        </w:tc>
        <w:tc>
          <w:tcPr>
            <w:tcW w:type="dxa" w:w="2160"/>
          </w:tcPr>
          <w:p>
            <w:r>
              <w:t>Drive réel</w:t>
            </w:r>
          </w:p>
        </w:tc>
        <w:tc>
          <w:tcPr>
            <w:tcW w:type="dxa" w:w="2160"/>
          </w:tcPr>
          <w:p>
            <w:r>
              <w:t>Décharger deux visites dont une sans index, vérifier XLSX et photos ZIP dans le dossier Drive ; ouvrir et comparer les valeurs.</w:t>
            </w:r>
          </w:p>
        </w:tc>
        <w:tc>
          <w:tcPr>
            <w:tcW w:type="dxa" w:w="2160"/>
          </w:tcPr>
          <w:p>
            <w:r>
              <w:t>Réception réelle non certifiée par les tests Google simulés.</w:t>
            </w:r>
          </w:p>
        </w:tc>
      </w:tr>
      <w:tr>
        <w:tc>
          <w:tcPr>
            <w:tcW w:type="dxa" w:w="2160"/>
          </w:tcPr>
          <w:p>
            <w:r>
              <w:t>T06</w:t>
            </w:r>
          </w:p>
        </w:tc>
        <w:tc>
          <w:tcPr>
            <w:tcW w:type="dxa" w:w="2160"/>
          </w:tcPr>
          <w:p>
            <w:r>
              <w:t>Coupure réseau / reprise</w:t>
            </w:r>
          </w:p>
        </w:tc>
        <w:tc>
          <w:tcPr>
            <w:tcW w:type="dxa" w:w="2160"/>
          </w:tcPr>
          <w:p>
            <w:r>
              <w:t>Interrompre le réseau pendant l’envoi ; vérifier conservation locale, message d’échec et nouvelle tentative sans doublon du même contenu.</w:t>
            </w:r>
          </w:p>
        </w:tc>
        <w:tc>
          <w:tcPr>
            <w:tcW w:type="dxa" w:w="2160"/>
          </w:tcPr>
          <w:p>
            <w:r>
              <w:t>À vérifier sur réseau mobile et Wi-Fi.</w:t>
            </w:r>
          </w:p>
        </w:tc>
      </w:tr>
      <w:tr>
        <w:tc>
          <w:tcPr>
            <w:tcW w:type="dxa" w:w="2160"/>
          </w:tcPr>
          <w:p>
            <w:r>
              <w:t>T07</w:t>
            </w:r>
          </w:p>
        </w:tc>
        <w:tc>
          <w:tcPr>
            <w:tcW w:type="dxa" w:w="2160"/>
          </w:tcPr>
          <w:p>
            <w:r>
              <w:t>Clavier / affichage</w:t>
            </w:r>
          </w:p>
        </w:tc>
        <w:tc>
          <w:tcPr>
            <w:tcW w:type="dxa" w:w="2160"/>
          </w:tcPr>
          <w:p>
            <w:r>
              <w:t>Tester petit écran, zoom système, police agrandie et clavier constructeur ; vérifier accès à tous les champs/boutons.</w:t>
            </w:r>
          </w:p>
        </w:tc>
        <w:tc>
          <w:tcPr>
            <w:tcW w:type="dxa" w:w="2160"/>
          </w:tcPr>
          <w:p>
            <w:r>
              <w:t>Capture émulateur disponible ; confort réel non garanti pour tous les réglages.</w:t>
            </w:r>
          </w:p>
        </w:tc>
      </w:tr>
      <w:tr>
        <w:tc>
          <w:tcPr>
            <w:tcW w:type="dxa" w:w="2160"/>
          </w:tcPr>
          <w:p>
            <w:r>
              <w:t>T08</w:t>
            </w:r>
          </w:p>
        </w:tc>
        <w:tc>
          <w:tcPr>
            <w:tcW w:type="dxa" w:w="2160"/>
          </w:tcPr>
          <w:p>
            <w:r>
              <w:t>25 000 lignes</w:t>
            </w:r>
          </w:p>
        </w:tc>
        <w:tc>
          <w:tcPr>
            <w:tcW w:type="dxa" w:w="2160"/>
          </w:tcPr>
          <w:p>
            <w:r>
              <w:t>Importer le véritable fichier représentatif, filtrer, rechercher, saisir, exporter et contrôler les temps et la mémoire.</w:t>
            </w:r>
          </w:p>
        </w:tc>
        <w:tc>
          <w:tcPr>
            <w:tcW w:type="dxa" w:w="2160"/>
          </w:tcPr>
          <w:p>
            <w:r>
              <w:t>Charge synthétique testée ; import XLSX de 25 000 lignes non mesuré.</w:t>
            </w:r>
          </w:p>
        </w:tc>
      </w:tr>
      <w:tr>
        <w:tc>
          <w:tcPr>
            <w:tcW w:type="dxa" w:w="2160"/>
          </w:tcPr>
          <w:p>
            <w:r>
              <w:t>T09</w:t>
            </w:r>
          </w:p>
        </w:tc>
        <w:tc>
          <w:tcPr>
            <w:tcW w:type="dxa" w:w="2160"/>
          </w:tcPr>
          <w:p>
            <w:r>
              <w:t>Sécurité des rôles</w:t>
            </w:r>
          </w:p>
        </w:tc>
        <w:tc>
          <w:tcPr>
            <w:tcW w:type="dxa" w:w="2160"/>
          </w:tcPr>
          <w:p>
            <w:r>
              <w:t>Désactiver chaque option ; reconnecter le releveur ; vérifier protections, modifications interdites et accès aux archives.</w:t>
            </w:r>
          </w:p>
        </w:tc>
        <w:tc>
          <w:tcPr>
            <w:tcW w:type="dxa" w:w="2160"/>
          </w:tcPr>
          <w:p>
            <w:r>
              <w:t>Contrôles automatisés existants ; recette métier sur téléphone recommandée.</w:t>
            </w:r>
          </w:p>
        </w:tc>
      </w:tr>
      <w:tr>
        <w:tc>
          <w:tcPr>
            <w:tcW w:type="dxa" w:w="2160"/>
          </w:tcPr>
          <w:p>
            <w:r>
              <w:t>T10</w:t>
            </w:r>
          </w:p>
        </w:tc>
        <w:tc>
          <w:tcPr>
            <w:tcW w:type="dxa" w:w="2160"/>
          </w:tcPr>
          <w:p>
            <w:r>
              <w:t>Purges et archives</w:t>
            </w:r>
          </w:p>
        </w:tc>
        <w:tc>
          <w:tcPr>
            <w:tcW w:type="dxa" w:w="2160"/>
          </w:tcPr>
          <w:p>
            <w:r>
              <w:t>Sur données fictives, purger une tournée, supprimer un compte, contrôler archive conservée ; supprimer l’archive séparément.</w:t>
            </w:r>
          </w:p>
        </w:tc>
        <w:tc>
          <w:tcPr>
            <w:tcW w:type="dxa" w:w="2160"/>
          </w:tcPr>
          <w:p>
            <w:r>
              <w:t>Action destructive : vérifier les copies utiles avant essai.</w:t>
            </w:r>
          </w:p>
        </w:tc>
      </w:tr>
      <w:tr>
        <w:tc>
          <w:tcPr>
            <w:tcW w:type="dxa" w:w="2160"/>
          </w:tcPr>
          <w:p>
            <w:r>
              <w:t>T11</w:t>
            </w:r>
          </w:p>
        </w:tc>
        <w:tc>
          <w:tcPr>
            <w:tcW w:type="dxa" w:w="2160"/>
          </w:tcPr>
          <w:p>
            <w:r>
              <w:t>Contrôles de saisie</w:t>
            </w:r>
          </w:p>
        </w:tc>
        <w:tc>
          <w:tcPr>
            <w:tcW w:type="dxa" w:w="2160"/>
          </w:tcPr>
          <w:p>
            <w:r>
              <w:t>Tester ZERO, NEGATIF, POSITIF hors seuil, sans index et sans référence ; confirmation index/téléphone consécutive.</w:t>
            </w:r>
          </w:p>
        </w:tc>
        <w:tc>
          <w:tcPr>
            <w:tcW w:type="dxa" w:w="2160"/>
          </w:tcPr>
          <w:p>
            <w:r>
              <w:t>Catalogue réel à contrôler, notamment couverture ZERO en EA et BT.</w:t>
            </w:r>
          </w:p>
        </w:tc>
      </w:tr>
      <w:tr>
        <w:tc>
          <w:tcPr>
            <w:tcW w:type="dxa" w:w="2160"/>
          </w:tcPr>
          <w:p>
            <w:r>
              <w:t>T12</w:t>
            </w:r>
          </w:p>
        </w:tc>
        <w:tc>
          <w:tcPr>
            <w:tcW w:type="dxa" w:w="2160"/>
          </w:tcPr>
          <w:p>
            <w:r>
              <w:t>Arrêt / reprise</w:t>
            </w:r>
          </w:p>
        </w:tc>
        <w:tc>
          <w:tcPr>
            <w:tcW w:type="dxa" w:w="2160"/>
          </w:tcPr>
          <w:p>
            <w:r>
              <w:t>Sortir du formulaire, se déconnecter, relancer et interrompre Android ; vérifier sauvegarde validée et ordre de reprise.</w:t>
            </w:r>
          </w:p>
        </w:tc>
        <w:tc>
          <w:tcPr>
            <w:tcW w:type="dxa" w:w="2160"/>
          </w:tcPr>
          <w:p>
            <w:r>
              <w:t>Distinguer validation enregistrée et brouillon non validé.</w:t>
            </w:r>
          </w:p>
        </w:tc>
      </w:tr>
    </w:tbl>
    <w:p>
      <w:r>
        <w:t>Pour chaque essai, noter : modèle, Android/ColorOS, version APK, date, jeu de données, résultat observé, preuve et décision OK/KO. Un essai non réalisé reste « À vérifier ».</w:t>
      </w:r>
    </w:p>
    <w:p>
      <w:pPr>
        <w:pStyle w:val="Heading1"/>
      </w:pPr>
      <w:r>
        <w:t>12. Références et points ouverts</w:t>
      </w:r>
    </w:p>
    <w:p>
      <w:r>
        <w:t>Sources utilisées : code livré Model, MainActivity, BundleImport, modèle Excel, MISE_A_JOUR_5.1.3.md, MISE_A_JOUR_5.1.4.md et VALIDATION.md. Le cahier décrit l’existant ; toute évolution doit faire l’objet d’une spécification et d’une validation distinctes.</w:t>
      </w:r>
    </w:p>
    <w:p>
      <w:r>
        <w:t>Point ouvert prioritaire : Oppo Reno 7, photo non reconnue après capture. Version Android/ColorOS et reproduction exacte à relever. Le format HEIF, l’enregistrement incomplet et le retour caméra ne sont que des pistes, pas des causes établies.</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SMB-Relève • Version 5.1.4 • Documentation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74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74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74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