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des charges</w:t>
      </w:r>
    </w:p>
    <w:p>
      <w:r>
        <w:t>Application de relève terrain des compteurs d’eau et d’électricité</w:t>
      </w:r>
    </w:p>
    <w:p>
      <w:r>
        <w:t>Version document : 1.0 — 13 octobre 2026</w:t>
      </w:r>
    </w:p>
    <w:p>
      <w:r>
        <w:t>Référence : APK 4.1.0, compilation 15. État fonctionnel issu du code et des tests exécutés. Données des captures exclusivement fictives.</w:t>
      </w:r>
    </w:p>
    <w:p>
      <w:pPr>
        <w:pStyle w:val="Heading1"/>
      </w:pPr>
      <w:r>
        <w:t>Objet et périmètre</w:t>
      </w:r>
    </w:p>
    <w:p>
      <w:r>
        <w:t>Formaliser les exigences de la version livrée : préparation et import des tournées, saisie terrain hors connexion, contrôles de consommation, photographie, localisation, recherche, compteurs hors liste et restitution. Ce document décrit le fonctionnement actuel ; les améliorations futures devront faire l’objet d’une nouvelle version.</w:t>
      </w:r>
    </w:p>
    <w:tbl>
      <w:tblPr>
        <w:tblStyle w:val="LightShading-Accent1"/>
        <w:tblW w:type="auto" w:w="0"/>
        <w:tblLook w:firstColumn="1" w:firstRow="1" w:lastColumn="0" w:lastRow="0" w:noHBand="0" w:noVBand="1" w:val="04A0"/>
      </w:tblPr>
      <w:tblGrid>
        <w:gridCol w:w="4986"/>
        <w:gridCol w:w="4986"/>
      </w:tblGrid>
      <w:tr>
        <w:tc>
          <w:tcPr>
            <w:tcW w:type="dxa" w:w="4986"/>
          </w:tcPr>
          <w:p>
            <w:r>
              <w:t>Référence</w:t>
            </w:r>
          </w:p>
        </w:tc>
        <w:tc>
          <w:tcPr>
            <w:tcW w:type="dxa" w:w="4986"/>
          </w:tcPr>
          <w:p>
            <w:r>
              <w:t>Valeur</w:t>
            </w:r>
          </w:p>
        </w:tc>
      </w:tr>
      <w:tr>
        <w:tc>
          <w:tcPr>
            <w:tcW w:type="dxa" w:w="4986"/>
          </w:tcPr>
          <w:p>
            <w:r>
              <w:t>Version</w:t>
            </w:r>
          </w:p>
        </w:tc>
        <w:tc>
          <w:tcPr>
            <w:tcW w:type="dxa" w:w="4986"/>
          </w:tcPr>
          <w:p>
            <w:r>
              <w:t>4.1.0 — versionCode 15</w:t>
            </w:r>
          </w:p>
        </w:tc>
      </w:tr>
      <w:tr>
        <w:tc>
          <w:tcPr>
            <w:tcW w:type="dxa" w:w="4986"/>
          </w:tcPr>
          <w:p>
            <w:r>
              <w:t>Plateforme</w:t>
            </w:r>
          </w:p>
        </w:tc>
        <w:tc>
          <w:tcPr>
            <w:tcW w:type="dxa" w:w="4986"/>
          </w:tcPr>
          <w:p>
            <w:r>
              <w:t>Android 8.0 minimum (API 26) ; SDK cible 35</w:t>
            </w:r>
          </w:p>
        </w:tc>
      </w:tr>
      <w:tr>
        <w:tc>
          <w:tcPr>
            <w:tcW w:type="dxa" w:w="4986"/>
          </w:tcPr>
          <w:p>
            <w:r>
              <w:t>Installation</w:t>
            </w:r>
          </w:p>
        </w:tc>
        <w:tc>
          <w:tcPr>
            <w:tcW w:type="dxa" w:w="4986"/>
          </w:tcPr>
          <w:p>
            <w:r>
              <w:t>Package ma.releve.terrain.v320, distinct de la 3.1.1</w:t>
            </w:r>
          </w:p>
        </w:tc>
      </w:tr>
      <w:tr>
        <w:tc>
          <w:tcPr>
            <w:tcW w:type="dxa" w:w="4986"/>
          </w:tcPr>
          <w:p>
            <w:r>
              <w:t>Réseaux</w:t>
            </w:r>
          </w:p>
        </w:tc>
        <w:tc>
          <w:tcPr>
            <w:tcW w:type="dxa" w:w="4986"/>
          </w:tcPr>
          <w:p>
            <w:r>
              <w:t>EA : eau ; BT : électricité</w:t>
            </w:r>
          </w:p>
        </w:tc>
      </w:tr>
      <w:tr>
        <w:tc>
          <w:tcPr>
            <w:tcW w:type="dxa" w:w="4986"/>
          </w:tcPr>
          <w:p>
            <w:r>
              <w:t>Stockage</w:t>
            </w:r>
          </w:p>
        </w:tc>
        <w:tc>
          <w:tcPr>
            <w:tcW w:type="dxa" w:w="4986"/>
          </w:tcPr>
          <w:p>
            <w:r>
              <w:t>Base SQLite et fichiers locaux au téléphone</w:t>
            </w:r>
          </w:p>
        </w:tc>
      </w:tr>
      <w:tr>
        <w:tc>
          <w:tcPr>
            <w:tcW w:type="dxa" w:w="4986"/>
          </w:tcPr>
          <w:p>
            <w:r>
              <w:t>Livrables</w:t>
            </w:r>
          </w:p>
        </w:tc>
        <w:tc>
          <w:tcPr>
            <w:tcW w:type="dxa" w:w="4986"/>
          </w:tcPr>
          <w:p>
            <w:r>
              <w:t>APK, modèle XLSX à trois feuilles, sources et dossier ZIP</w:t>
            </w:r>
          </w:p>
        </w:tc>
      </w:tr>
    </w:tbl>
    <w:p>
      <w:pPr>
        <w:pStyle w:val="Heading1"/>
      </w:pPr>
      <w:r>
        <w:t>Acteurs</w:t>
      </w:r>
    </w:p>
    <w:tbl>
      <w:tblPr>
        <w:tblStyle w:val="LightShading-Accent1"/>
        <w:tblW w:type="auto" w:w="0"/>
        <w:tblLook w:firstColumn="1" w:firstRow="1" w:lastColumn="0" w:lastRow="0" w:noHBand="0" w:noVBand="1" w:val="04A0"/>
      </w:tblPr>
      <w:tblGrid>
        <w:gridCol w:w="4986"/>
        <w:gridCol w:w="4986"/>
      </w:tblGrid>
      <w:tr>
        <w:tc>
          <w:tcPr>
            <w:tcW w:type="dxa" w:w="4986"/>
          </w:tcPr>
          <w:p>
            <w:r>
              <w:t>Profil</w:t>
            </w:r>
          </w:p>
        </w:tc>
        <w:tc>
          <w:tcPr>
            <w:tcW w:type="dxa" w:w="4986"/>
          </w:tcPr>
          <w:p>
            <w:r>
              <w:t>Responsabilités</w:t>
            </w:r>
          </w:p>
        </w:tc>
      </w:tr>
      <w:tr>
        <w:tc>
          <w:tcPr>
            <w:tcW w:type="dxa" w:w="4986"/>
          </w:tcPr>
          <w:p>
            <w:r>
              <w:t>Administrateur</w:t>
            </w:r>
          </w:p>
        </w:tc>
        <w:tc>
          <w:tcPr>
            <w:tcW w:type="dxa" w:w="4986"/>
          </w:tcPr>
          <w:p>
            <w:r>
              <w:t>Créer les comptes, nommer les releveurs, affecter les tournées, configurer les catalogues et échanges, importer en ajout.</w:t>
            </w:r>
          </w:p>
        </w:tc>
      </w:tr>
      <w:tr>
        <w:tc>
          <w:tcPr>
            <w:tcW w:type="dxa" w:w="4986"/>
          </w:tcPr>
          <w:p>
            <w:r>
              <w:t>Releveur</w:t>
            </w:r>
          </w:p>
        </w:tc>
        <w:tc>
          <w:tcPr>
            <w:tcW w:type="dxa" w:w="4986"/>
          </w:tcPr>
          <w:p>
            <w:r>
              <w:t>Importer sa tournée, rechercher, saisir et photographier les compteurs, sauvegarder et exporter.</w:t>
            </w:r>
          </w:p>
        </w:tc>
      </w:tr>
      <w:tr>
        <w:tc>
          <w:tcPr>
            <w:tcW w:type="dxa" w:w="4986"/>
          </w:tcPr>
          <w:p>
            <w:r>
              <w:t>Destinataire des exports</w:t>
            </w:r>
          </w:p>
        </w:tc>
        <w:tc>
          <w:tcPr>
            <w:tcW w:type="dxa" w:w="4986"/>
          </w:tcPr>
          <w:p>
            <w:r>
              <w:t>Contrôler et exploiter les fichiers transmis ; réception à vérifier hors application.</w:t>
            </w:r>
          </w:p>
        </w:tc>
      </w:tr>
    </w:tbl>
    <w:p>
      <w:r>
        <w:br w:type="page"/>
      </w:r>
    </w:p>
    <w:p>
      <w:pPr>
        <w:pStyle w:val="Heading1"/>
      </w:pPr>
      <w:r>
        <w:t>2. Comptes, droits et installation</w:t>
      </w:r>
    </w:p>
    <w:p>
      <w:pPr>
        <w:pStyle w:val="ListBullet"/>
      </w:pPr>
      <w:r>
        <w:t>Créer un administrateur à la première ouverture ; aucun mot de passe applicatif par défaut.</w:t>
      </w:r>
    </w:p>
    <w:p>
      <w:pPr>
        <w:pStyle w:val="ListBullet"/>
      </w:pPr>
      <w:r>
        <w:t>Authentification individuelle locale ; mots de passe hachés PBKDF2 avec sel.</w:t>
      </w:r>
    </w:p>
    <w:p>
      <w:pPr>
        <w:pStyle w:val="ListBullet"/>
      </w:pPr>
      <w:r>
        <w:t>Un releveur accède à ses compteurs affectés. Les catalogues sont communs au téléphone.</w:t>
      </w:r>
    </w:p>
    <w:p>
      <w:pPr>
        <w:pStyle w:val="ListBullet"/>
      </w:pPr>
      <w:r>
        <w:t>Chaque compte peut modifier son propre mot de passe : mot de passe actuel, nouveau d’au moins huit caractères, confirmation.</w:t>
      </w:r>
    </w:p>
    <w:p>
      <w:pPr>
        <w:pStyle w:val="ListBullet"/>
      </w:pPr>
      <w:r>
        <w:t>Installer les mises à jour avec le même package et certificat, sans désinstaller. La désinstallation peut supprimer les données locales.</w:t>
      </w:r>
    </w:p>
    <w:p>
      <w:pPr>
        <w:pStyle w:val="ListBullet"/>
      </w:pPr>
      <w:r>
        <w:t>La version 3.1.1 conserve une base indépendante ; aucune migration automatique de sa base privée n’est revendiquée.</w:t>
      </w:r>
    </w:p>
    <w:p>
      <w:r>
        <w:br w:type="page"/>
      </w:r>
    </w:p>
    <w:p>
      <w:pPr>
        <w:pStyle w:val="Heading1"/>
      </w:pPr>
      <w:r>
        <w:t>3. Import et modèle de données</w:t>
      </w:r>
    </w:p>
    <w:p>
      <w:r>
        <w:t>Le classeur doit contenir exactement les trois feuilles Releve, Anomalie et type_local. Une alternative est le ZIP de trois CSV ou leur sélection multiple : Releve.csv, Anomalie.csv et type_local.csv. CSV UTF-8, séparateur point-virgule ; un CSV isolé ne suffit pas à remplacer une tournée complète.</w:t>
      </w:r>
    </w:p>
    <w:tbl>
      <w:tblPr>
        <w:tblStyle w:val="LightShading-Accent1"/>
        <w:tblW w:type="auto" w:w="0"/>
        <w:tblLook w:firstColumn="1" w:firstRow="1" w:lastColumn="0" w:lastRow="0" w:noHBand="0" w:noVBand="1" w:val="04A0"/>
      </w:tblPr>
      <w:tblGrid>
        <w:gridCol w:w="4986"/>
        <w:gridCol w:w="4986"/>
      </w:tblGrid>
      <w:tr>
        <w:tc>
          <w:tcPr>
            <w:tcW w:type="dxa" w:w="4986"/>
          </w:tcPr>
          <w:p>
            <w:r>
              <w:t>Feuille</w:t>
            </w:r>
          </w:p>
        </w:tc>
        <w:tc>
          <w:tcPr>
            <w:tcW w:type="dxa" w:w="4986"/>
          </w:tcPr>
          <w:p>
            <w:r>
              <w:t>Structure</w:t>
            </w:r>
          </w:p>
        </w:tc>
      </w:tr>
      <w:tr>
        <w:tc>
          <w:tcPr>
            <w:tcW w:type="dxa" w:w="4986"/>
          </w:tcPr>
          <w:p>
            <w:r>
              <w:t>Releve</w:t>
            </w:r>
          </w:p>
        </w:tc>
        <w:tc>
          <w:tcPr>
            <w:tcW w:type="dxa" w:w="4986"/>
          </w:tcPr>
          <w:p>
            <w:r>
              <w:t>Colonnes obligatoires : Reseau, Contrat, Nom, Adresse, UR, Tournee, Numero compteur, Produit, Ancien index, Date ancienne releve.</w:t>
            </w:r>
          </w:p>
        </w:tc>
      </w:tr>
      <w:tr>
        <w:tc>
          <w:tcPr>
            <w:tcW w:type="dxa" w:w="4986"/>
          </w:tcPr>
          <w:p>
            <w:r>
              <w:t>Releve — compléments</w:t>
            </w:r>
          </w:p>
        </w:tc>
        <w:tc>
          <w:tcPr>
            <w:tcW w:type="dxa" w:w="4986"/>
          </w:tcPr>
          <w:p>
            <w:r>
              <w:t>Telephone, Type local, Statut photo, Moyenne journaliere, Taux variation, Identifiant, Ordre de releve, Identifiant releveur.</w:t>
            </w:r>
          </w:p>
        </w:tc>
      </w:tr>
      <w:tr>
        <w:tc>
          <w:tcPr>
            <w:tcW w:type="dxa" w:w="4986"/>
          </w:tcPr>
          <w:p>
            <w:r>
              <w:t>Anomalie</w:t>
            </w:r>
          </w:p>
        </w:tc>
        <w:tc>
          <w:tcPr>
            <w:tcW w:type="dxa" w:w="4986"/>
          </w:tcPr>
          <w:p>
            <w:r>
              <w:t>Code anomalie, Libelle anomalie, Reseau, Cas consommation, Photo obligatoire, Deuxieme passage.</w:t>
            </w:r>
          </w:p>
        </w:tc>
      </w:tr>
      <w:tr>
        <w:tc>
          <w:tcPr>
            <w:tcW w:type="dxa" w:w="4986"/>
          </w:tcPr>
          <w:p>
            <w:r>
              <w:t>type_local</w:t>
            </w:r>
          </w:p>
        </w:tc>
        <w:tc>
          <w:tcPr>
            <w:tcW w:type="dxa" w:w="4986"/>
          </w:tcPr>
          <w:p>
            <w:r>
              <w:t>Code type local, Libelle type local.</w:t>
            </w:r>
          </w:p>
        </w:tc>
      </w:tr>
    </w:tbl>
    <w:p>
      <w:r>
        <w:t>Contrat, numéro de compteur, UR, tournée et produit doivent être renseignés. Le réseau est EA ou BT. La date précédente doit être valide. L’affectation doit correspondre au flux et au compte. Conserver identifiants, contrats, numéros de compteur et téléphones comme texte, notamment leurs zéros initiaux. Limite : 50 000 compteurs par import.</w:t>
      </w:r>
    </w:p>
    <w:p>
      <w:pPr>
        <w:pStyle w:val="Heading2"/>
      </w:pPr>
      <w:r>
        <w:t>Normalisation et validation</w:t>
      </w:r>
    </w:p>
    <w:p>
      <w:pPr>
        <w:pStyle w:val="ListBullet"/>
      </w:pPr>
      <w:r>
        <w:t>À l’import seulement, ancien index, moyenne journalière et taux de variation sont arrondis à deux décimales (HALF_UP). Virgule, point et notation scientifique numérique sont pris en charge.</w:t>
      </w:r>
    </w:p>
    <w:p>
      <w:pPr>
        <w:pStyle w:val="ListBullet"/>
      </w:pPr>
      <w:r>
        <w:t>Valeurs vides, négatives, non numériques ou hors plage deviennent zéro dans ces trois champs. Un ancien index remplacé par zéro devient la base de consommation : contrôler le fichier avant usage.</w:t>
      </w:r>
    </w:p>
    <w:p>
      <w:pPr>
        <w:pStyle w:val="ListBullet"/>
      </w:pPr>
      <w:r>
        <w:t>Les dates Excel avec fraction d’heure sont reconnues en conservant le jour ; formats jj/mm/aaaa et aaaa-mm-jj également reconnus.</w:t>
      </w:r>
    </w:p>
    <w:p>
      <w:pPr>
        <w:pStyle w:val="ListBullet"/>
      </w:pPr>
      <w:r>
        <w:t>Identifiants, téléphones, numéros de compteur, dates et ordre ne subissent pas cette normalisation numérique. Ordre : entier positif ou nul, neuf chiffres maximum.</w:t>
      </w:r>
    </w:p>
    <w:p>
      <w:pPr>
        <w:pStyle w:val="ListBullet"/>
      </w:pPr>
      <w:r>
        <w:t>Doublons réseau/contrat/compteur/produit, colonnes répétées ou absentes et catalogues invalides sont contrôlés avant mutation.</w:t>
      </w:r>
    </w:p>
    <w:p>
      <w:pPr>
        <w:pStyle w:val="Heading2"/>
      </w:pPr>
      <w:r>
        <w:t>Application de l’import</w:t>
      </w:r>
    </w:p>
    <w:p>
      <w:r>
        <w:t>Le releveur doit confirmer avec Remplacer. Annuler conserve les données. Sauvegarder / Exporter et Envoyer les relèves ne remplacent rien. Les compteurs du compte et les deux catalogues sont appliqués dans une transaction ; une erreur annule la transaction. Les autres comptes sont conservés. Le flux administrateur ajoute les contrats absents de la campagne sans écraser les saisies existantes et actualise les catalogues.</w:t>
      </w:r>
    </w:p>
    <w:p>
      <w:r>
        <w:br w:type="page"/>
      </w:r>
    </w:p>
    <w:p>
      <w:pPr>
        <w:pStyle w:val="Heading1"/>
      </w:pPr>
      <w:r>
        <w:t>4. Liste, recherche et parcours</w:t>
      </w:r>
    </w:p>
    <w:p>
      <w:pPr>
        <w:pStyle w:val="ListBullet"/>
      </w:pPr>
      <w:r>
        <w:t>Filtres de campagne, UR, tournée, état et recherche dans la liste.</w:t>
      </w:r>
    </w:p>
    <w:p>
      <w:pPr>
        <w:pStyle w:val="ListBullet"/>
      </w:pPr>
      <w:r>
        <w:t>Parcours selon Ordre de releve numérique, puis identifiant local en cas d’égalité ; ordres absents à la fin.</w:t>
      </w:r>
    </w:p>
    <w:p>
      <w:pPr>
        <w:pStyle w:val="ListBullet"/>
      </w:pPr>
      <w:r>
        <w:t>Recherche explicite depuis la liste et le menu principal : contrat, numéro, identifiant, nom, adresse ou UR.</w:t>
      </w:r>
    </w:p>
    <w:p>
      <w:pPr>
        <w:pStyle w:val="ListBullet"/>
      </w:pPr>
      <w:r>
        <w:t>Recherche dans toutes les campagnes accessibles au compte, indépendante des filtres de tournée.</w:t>
      </w:r>
    </w:p>
    <w:p>
      <w:pPr>
        <w:pStyle w:val="ListBullet"/>
      </w:pPr>
      <w:r>
        <w:t>Un ou plusieurs résultats : liste sélectionnable avec compteur, réseau, identifiant, nom et adresse.</w:t>
      </w:r>
    </w:p>
    <w:p>
      <w:pPr>
        <w:pStyle w:val="ListBullet"/>
      </w:pPr>
      <w:r>
        <w:t>Aucun résultat : proposer Annuler, qui conserve l’écran, ou Nouveau compteur hors liste.</w:t>
      </w:r>
    </w:p>
    <w:p>
      <w:pPr>
        <w:pStyle w:val="ListBullet"/>
      </w:pPr>
      <w:r>
        <w:t>Si une saisie non enregistrée est quittée, demander confirmation avant abandon.</w:t>
      </w:r>
    </w:p>
    <w:p>
      <w:pPr>
        <w:pStyle w:val="ListBullet"/>
      </w:pPr>
      <w:r>
        <w:t>La liste principale présente jusqu’à 150 cartes et demande de préciser la recherche au-delà ; la liste de recherche explicite n’applique pas ce plafond.</w:t>
      </w:r>
    </w:p>
    <w:p>
      <w:r>
        <w:br w:type="page"/>
      </w:r>
    </w:p>
    <w:p>
      <w:pPr>
        <w:pStyle w:val="Heading1"/>
      </w:pPr>
      <w:r>
        <w:t>5. Formulaire de relève</w:t>
      </w:r>
    </w:p>
    <w:tbl>
      <w:tblPr>
        <w:tblStyle w:val="LightShading-Accent1"/>
        <w:tblW w:type="auto" w:w="0"/>
        <w:tblLook w:firstColumn="1" w:firstRow="1" w:lastColumn="0" w:lastRow="0" w:noHBand="0" w:noVBand="1" w:val="04A0"/>
      </w:tblPr>
      <w:tblGrid>
        <w:gridCol w:w="4986"/>
        <w:gridCol w:w="4986"/>
      </w:tblGrid>
      <w:tr>
        <w:tc>
          <w:tcPr>
            <w:tcW w:type="dxa" w:w="4986"/>
          </w:tcPr>
          <w:p>
            <w:r>
              <w:t>Élément</w:t>
            </w:r>
          </w:p>
        </w:tc>
        <w:tc>
          <w:tcPr>
            <w:tcW w:type="dxa" w:w="4986"/>
          </w:tcPr>
          <w:p>
            <w:r>
              <w:t>Exigence</w:t>
            </w:r>
          </w:p>
        </w:tc>
      </w:tr>
      <w:tr>
        <w:tc>
          <w:tcPr>
            <w:tcW w:type="dxa" w:w="4986"/>
          </w:tcPr>
          <w:p>
            <w:r>
              <w:t>En-tête</w:t>
            </w:r>
          </w:p>
        </w:tc>
        <w:tc>
          <w:tcPr>
            <w:tcW w:type="dxa" w:w="4986"/>
          </w:tcPr>
          <w:p>
            <w:r>
              <w:t>UR et tournée, nom du releveur, relevés enregistrés / total des filtres actifs.</w:t>
            </w:r>
          </w:p>
        </w:tc>
      </w:tr>
      <w:tr>
        <w:tc>
          <w:tcPr>
            <w:tcW w:type="dxa" w:w="4986"/>
          </w:tcPr>
          <w:p>
            <w:r>
              <w:t>Résumé</w:t>
            </w:r>
          </w:p>
        </w:tc>
        <w:tc>
          <w:tcPr>
            <w:tcW w:type="dxa" w:w="4986"/>
          </w:tcPr>
          <w:p>
            <w:r>
              <w:t>Nom et adresse ; identifiant entre adresse et compteur, gras 28 sp si renseigné.</w:t>
            </w:r>
          </w:p>
        </w:tc>
      </w:tr>
      <w:tr>
        <w:tc>
          <w:tcPr>
            <w:tcW w:type="dxa" w:w="4986"/>
          </w:tcPr>
          <w:p>
            <w:r>
              <w:t>Compteur</w:t>
            </w:r>
          </w:p>
        </w:tc>
        <w:tc>
          <w:tcPr>
            <w:tcW w:type="dxa" w:w="4986"/>
          </w:tcPr>
          <w:p>
            <w:r>
              <w:t>Numéro gras 32 ; EA bleu et goutte d’eau, BT rouge et éclair.</w:t>
            </w:r>
          </w:p>
        </w:tc>
      </w:tr>
      <w:tr>
        <w:tc>
          <w:tcPr>
            <w:tcW w:type="dxa" w:w="4986"/>
          </w:tcPr>
          <w:p>
            <w:r>
              <w:t>Ancienne relève</w:t>
            </w:r>
          </w:p>
        </w:tc>
        <w:tc>
          <w:tcPr>
            <w:tcW w:type="dxa" w:w="4986"/>
          </w:tcPr>
          <w:p>
            <w:r>
              <w:t>Ancien index et ancienne date ; nombre de jours depuis cette date, gras 40.</w:t>
            </w:r>
          </w:p>
        </w:tc>
      </w:tr>
      <w:tr>
        <w:tc>
          <w:tcPr>
            <w:tcW w:type="dxa" w:w="4986"/>
          </w:tcPr>
          <w:p>
            <w:r>
              <w:t>Couleur des jours</w:t>
            </w:r>
          </w:p>
        </w:tc>
        <w:tc>
          <w:tcPr>
            <w:tcW w:type="dxa" w:w="4986"/>
          </w:tcPr>
          <w:p>
            <w:r>
              <w:t>29, 30, 31 : vert ; 28 et 32 : orange ; moins de 28 ou plus de 32 : rouge.</w:t>
            </w:r>
          </w:p>
        </w:tc>
      </w:tr>
      <w:tr>
        <w:tc>
          <w:tcPr>
            <w:tcW w:type="dxa" w:w="4986"/>
          </w:tcPr>
          <w:p>
            <w:r>
              <w:t>Saisie</w:t>
            </w:r>
          </w:p>
        </w:tc>
        <w:tc>
          <w:tcPr>
            <w:tcW w:type="dxa" w:w="4986"/>
          </w:tcPr>
          <w:p>
            <w:r>
              <w:t>Index gras 28 ; champs, listes et validation gras 14 ; espacement 4 dp.</w:t>
            </w:r>
          </w:p>
        </w:tc>
      </w:tr>
      <w:tr>
        <w:tc>
          <w:tcPr>
            <w:tcW w:type="dxa" w:w="4986"/>
          </w:tcPr>
          <w:p>
            <w:r>
              <w:t>Photo</w:t>
            </w:r>
          </w:p>
        </w:tc>
        <w:tc>
          <w:tcPr>
            <w:tcW w:type="dxa" w:w="4986"/>
          </w:tcPr>
          <w:p>
            <w:r>
              <w:t>Icônes prendre / consulter à droite de l’index, espacées.</w:t>
            </w:r>
          </w:p>
        </w:tc>
      </w:tr>
      <w:tr>
        <w:tc>
          <w:tcPr>
            <w:tcW w:type="dxa" w:w="4986"/>
          </w:tcPr>
          <w:p>
            <w:r>
              <w:t>Autres champs</w:t>
            </w:r>
          </w:p>
        </w:tc>
        <w:tc>
          <w:tcPr>
            <w:tcW w:type="dxa" w:w="4986"/>
          </w:tcPr>
          <w:p>
            <w:r>
              <w:t>Anomalie, commentaire, téléphone modifiable, type local déroulant.</w:t>
            </w:r>
          </w:p>
        </w:tc>
      </w:tr>
      <w:tr>
        <w:tc>
          <w:tcPr>
            <w:tcW w:type="dxa" w:w="4986"/>
          </w:tcPr>
          <w:p>
            <w:r>
              <w:t>Présentation</w:t>
            </w:r>
          </w:p>
        </w:tc>
        <w:tc>
          <w:tcPr>
            <w:tcW w:type="dxa" w:w="4986"/>
          </w:tcPr>
          <w:p>
            <w:r>
              <w:t>Une page sans défilement, contrôles accessibles avec clavier sur la taille de référence 360 × 640.</w:t>
            </w:r>
          </w:p>
        </w:tc>
      </w:tr>
    </w:tbl>
    <w:p>
      <w:r>
        <w:t>Les libellés explicatifs, calculs détaillés, nom du fichier photo, coordonnées GPS, case de deuxième passage et boutons précédent/suivant sont masqués. Leurs fonctions applicables et les gestes de navigation restent présents. Un appui sur le résumé permet d’accéder aux détails longs.</w:t>
      </w:r>
    </w:p>
    <w:p>
      <w:r>
        <w:br w:type="page"/>
      </w:r>
    </w:p>
    <w:p>
      <w:pPr>
        <w:pStyle w:val="Heading1"/>
      </w:pPr>
      <w:r>
        <w:t>6. Calculs, anomalies et confirmation</w:t>
      </w:r>
    </w:p>
    <w:p>
      <w:r>
        <w:t>Calculer la consommation à partir du nouvel index et de l’ancien, les jours entre date précédente et date courante, puis la consommation journalière si les jours sont strictement positifs. Comparer à la moyenne et au taux de variation selon les contrôles du modèle. Signaler les erreurs de dates et d’index avant enregistrement.</w:t>
      </w:r>
    </w:p>
    <w:p>
      <w:r>
        <w:t>Le formulaire principal filtre les anomalies selon le réseau et le cas : NEGATIF, ZERO, POSITIF, SANS_INDEX ou SANS_REFERENCE. Les catalogues peuvent couvrir plusieurs réseaux ou cas avec le séparateur |. Photo obligatoire et deuxième passage utilisent OUI/NON. Les codes DEMO_ du modèle sont des exemples à remplacer par le catalogue officiel.</w:t>
      </w:r>
    </w:p>
    <w:p>
      <w:pPr>
        <w:pStyle w:val="ListBullet"/>
      </w:pPr>
      <w:r>
        <w:t>Pour un index anormal, exiger deux saisies consécutives identiques dans le même champ.</w:t>
      </w:r>
    </w:p>
    <w:p>
      <w:pPr>
        <w:pStyle w:val="ListBullet"/>
      </w:pPr>
      <w:r>
        <w:t>Chaque saisie différente devient la nouvelle référence. Exemple : 1250, 1205, 1250, 1255, 1255 → confirmation à la cinquième saisie.</w:t>
      </w:r>
    </w:p>
    <w:p>
      <w:pPr>
        <w:pStyle w:val="ListBullet"/>
      </w:pPr>
      <w:r>
        <w:t>Message de ressaisie rouge et gras ; bouton Ressaisir redonne le focus et le clavier.</w:t>
      </w:r>
    </w:p>
    <w:p>
      <w:pPr>
        <w:pStyle w:val="ListBullet"/>
      </w:pPr>
      <w:r>
        <w:t>Une modification après confirmation invalide celle-ci et l’association de la photo.</w:t>
      </w:r>
    </w:p>
    <w:p>
      <w:pPr>
        <w:pStyle w:val="ListBullet"/>
      </w:pPr>
      <w:r>
        <w:t>Appliquer les obligations d’anomalie, de photo et de commentaire prévues par les contrôles ; commentaire requis en consommation négative.</w:t>
      </w:r>
    </w:p>
    <w:p>
      <w:pPr>
        <w:pStyle w:val="ListBullet"/>
      </w:pPr>
      <w:r>
        <w:t>Le cas sans index doit utiliser une anomalie compatible ; ne pas fabriquer un index pour contourner le contrôle.</w:t>
      </w:r>
    </w:p>
    <w:p>
      <w:r>
        <w:br w:type="page"/>
      </w:r>
    </w:p>
    <w:p>
      <w:pPr>
        <w:pStyle w:val="Heading1"/>
      </w:pPr>
      <w:r>
        <w:t>7. Compteurs hors liste, GPS et photos</w:t>
      </w:r>
    </w:p>
    <w:p>
      <w:r>
        <w:t>Le formulaire hors liste propose BT par défaut et une liste BT/EA. La couleur et l’icône suivent le réseau. L’UR est forcée en majuscules à la saisie, au collage et à la validation. UR, numéro du compteur, anomalie et photo sont requis. Toutes les anomalies du réseau sont proposées sans filtrage de consommation, car l’ancien index n’est pas connu. Changer de réseau enlève une sélection incompatible. À la réouverture, le compteur conserve son anomalie et le catalogue de son réseau.</w:t>
      </w:r>
    </w:p>
    <w:p>
      <w:r>
        <w:t>À la validation, acquérir automatiquement une position récente pendant un maximum de 20 secondes : X longitude, Y latitude, précision et horodatage. Une position antérieure au début de l’acquisition est ignorée. En cas d’échec : réessayer, annuler ou confirmer explicitement sans GPS. Les photos sont associées au compteur et incluses dans les archives pertinentes.</w:t>
      </w:r>
    </w:p>
    <w:p>
      <w:r>
        <w:br w:type="page"/>
      </w:r>
    </w:p>
    <w:p>
      <w:pPr>
        <w:pStyle w:val="Heading1"/>
      </w:pPr>
      <w:r>
        <w:t>8. Sauvegardes, exports et exigences de qualité</w:t>
      </w:r>
    </w:p>
    <w:p>
      <w:pPr>
        <w:pStyle w:val="ListBullet"/>
      </w:pPr>
      <w:r>
        <w:t>Sauvegarde locale ZIP : champs de relève, photos référencées, source disponible et deux catalogues.</w:t>
      </w:r>
    </w:p>
    <w:p>
      <w:pPr>
        <w:pStyle w:val="ListBullet"/>
      </w:pPr>
      <w:r>
        <w:t>Avant restauration, sauvegarder la tournée courante. Lire les archives historiques sans catalogues sans effacer les catalogues actuels.</w:t>
      </w:r>
    </w:p>
    <w:p>
      <w:pPr>
        <w:pStyle w:val="ListBullet"/>
      </w:pPr>
      <w:r>
        <w:t>Exports : Excel XLSX, CSV UTF-8 et archive XLSX + CSV + photos.</w:t>
      </w:r>
    </w:p>
    <w:p>
      <w:pPr>
        <w:pStyle w:val="ListBullet"/>
      </w:pPr>
      <w:r>
        <w:t>Conserver dans les exports les valeurs importées de téléphone/type local distinctes des nouvelles valeurs.</w:t>
      </w:r>
    </w:p>
    <w:p>
      <w:pPr>
        <w:pStyle w:val="ListBullet"/>
      </w:pPr>
      <w:r>
        <w:t>Partage Android / Drive : préparer l’envoi sans affirmer la réception ni marquer automatiquement les relevés envoyés.</w:t>
      </w:r>
    </w:p>
    <w:p>
      <w:pPr>
        <w:pStyle w:val="ListBullet"/>
      </w:pPr>
      <w:r>
        <w:t>Utilisation terrain hors connexion ; accès réseau nécessaire aux échanges externes.</w:t>
      </w:r>
    </w:p>
    <w:p>
      <w:pPr>
        <w:pStyle w:val="ListBullet"/>
      </w:pPr>
      <w:r>
        <w:t>Protection de capture active dans l’APK ; captures de documentation réalisées par un runner de test dédié.</w:t>
      </w:r>
    </w:p>
    <w:p>
      <w:pPr>
        <w:pStyle w:val="ListBullet"/>
      </w:pPr>
      <w:r>
        <w:t>Ne publier ni clé privée ni fichiers de tournée réels dans les sources ou livraisons publiques. La conformité juridique complète nécessite une analyse distincte du traitement et des usages.</w:t>
      </w:r>
    </w:p>
    <w:p>
      <w:pPr>
        <w:pStyle w:val="Heading2"/>
      </w:pPr>
      <w:r>
        <w:t>Recette et éléments de preuve</w:t>
      </w:r>
    </w:p>
    <w:tbl>
      <w:tblPr>
        <w:tblStyle w:val="LightShading-Accent1"/>
        <w:tblW w:type="auto" w:w="0"/>
        <w:tblLook w:firstColumn="1" w:firstRow="1" w:lastColumn="0" w:lastRow="0" w:noHBand="0" w:noVBand="1" w:val="04A0"/>
      </w:tblPr>
      <w:tblGrid>
        <w:gridCol w:w="4986"/>
        <w:gridCol w:w="4986"/>
      </w:tblGrid>
      <w:tr>
        <w:tc>
          <w:tcPr>
            <w:tcW w:type="dxa" w:w="4986"/>
          </w:tcPr>
          <w:p>
            <w:r>
              <w:t>Contrôle</w:t>
            </w:r>
          </w:p>
        </w:tc>
        <w:tc>
          <w:tcPr>
            <w:tcW w:type="dxa" w:w="4986"/>
          </w:tcPr>
          <w:p>
            <w:r>
              <w:t>État</w:t>
            </w:r>
          </w:p>
        </w:tc>
      </w:tr>
      <w:tr>
        <w:tc>
          <w:tcPr>
            <w:tcW w:type="dxa" w:w="4986"/>
          </w:tcPr>
          <w:p>
            <w:r>
              <w:t>Compilation / signature</w:t>
            </w:r>
          </w:p>
        </w:tc>
        <w:tc>
          <w:tcPr>
            <w:tcW w:type="dxa" w:w="4986"/>
          </w:tcPr>
          <w:p>
            <w:r>
              <w:t>AAPT2, Java 17, D8, alignement ; signatures v2/v3 vérifiées.</w:t>
            </w:r>
          </w:p>
        </w:tc>
      </w:tr>
      <w:tr>
        <w:tc>
          <w:tcPr>
            <w:tcW w:type="dxa" w:w="4986"/>
          </w:tcPr>
          <w:p>
            <w:r>
              <w:t>Tests JVM</w:t>
            </w:r>
          </w:p>
        </w:tc>
        <w:tc>
          <w:tcPr>
            <w:tcW w:type="dxa" w:w="4986"/>
          </w:tcPr>
          <w:p>
            <w:r>
              <w:t>58 contrôles réussis.</w:t>
            </w:r>
          </w:p>
        </w:tc>
      </w:tr>
      <w:tr>
        <w:tc>
          <w:tcPr>
            <w:tcW w:type="dxa" w:w="4986"/>
          </w:tcPr>
          <w:p>
            <w:r>
              <w:t>Tests Android</w:t>
            </w:r>
          </w:p>
        </w:tc>
        <w:tc>
          <w:tcPr>
            <w:tcW w:type="dxa" w:w="4986"/>
          </w:tcPr>
          <w:p>
            <w:r>
              <w:t>99 contrôles réussis ; instrumentation terminée avec succès.</w:t>
            </w:r>
          </w:p>
        </w:tc>
      </w:tr>
      <w:tr>
        <w:tc>
          <w:tcPr>
            <w:tcW w:type="dxa" w:w="4986"/>
          </w:tcPr>
          <w:p>
            <w:r>
              <w:t>Interface</w:t>
            </w:r>
          </w:p>
        </w:tc>
        <w:tc>
          <w:tcPr>
            <w:tcW w:type="dxa" w:w="4986"/>
          </w:tcPr>
          <w:p>
            <w:r>
              <w:t>Émulateur Android API 26, écran 360 × 640, clavier ouvert.</w:t>
            </w:r>
          </w:p>
        </w:tc>
      </w:tr>
      <w:tr>
        <w:tc>
          <w:tcPr>
            <w:tcW w:type="dxa" w:w="4986"/>
          </w:tcPr>
          <w:p>
            <w:r>
              <w:t>Recette matérielle à réaliser</w:t>
            </w:r>
          </w:p>
        </w:tc>
        <w:tc>
          <w:tcPr>
            <w:tcW w:type="dxa" w:w="4986"/>
          </w:tcPr>
          <w:p>
            <w:r>
              <w:t>Téléphone réel, caméra, GPS, permissions, réception Drive, autres claviers et grandes polices.</w:t>
            </w:r>
          </w:p>
        </w:tc>
      </w:tr>
      <w:tr>
        <w:tc>
          <w:tcPr>
            <w:tcW w:type="dxa" w:w="4986"/>
          </w:tcPr>
          <w:p>
            <w:r>
              <w:t>Android récent</w:t>
            </w:r>
          </w:p>
        </w:tc>
        <w:tc>
          <w:tcPr>
            <w:tcW w:type="dxa" w:w="4986"/>
          </w:tcPr>
          <w:p>
            <w:r>
              <w:t>SDK cible 35 ; exécution Android 15 non validée.</w:t>
            </w:r>
          </w:p>
        </w:tc>
      </w:tr>
      <w:tr>
        <w:tc>
          <w:tcPr>
            <w:tcW w:type="dxa" w:w="4986"/>
          </w:tcPr>
          <w:p>
            <w:r>
              <w:t>Signature</w:t>
            </w:r>
          </w:p>
        </w:tc>
        <w:tc>
          <w:tcPr>
            <w:tcW w:type="dxa" w:w="4986"/>
          </w:tcPr>
          <w:p>
            <w:r>
              <w:t>Clé de développement ; maintenir le certificat pour les mises à jour.</w:t>
            </w:r>
          </w:p>
        </w:tc>
      </w:tr>
    </w:tbl>
    <w:p>
      <w:r>
        <w:t>Critères d’acceptation : import annulé sans mutation ; import confirmé atomique ; accès limité au compte ; résultat de recherche sélectionnable ; absence de résultat avec les deux actions ; deux index consécutifs requis ; conservation des relevés après mise à jour ; export et restauration vérifiés ; identification et couleurs conformes.</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Documentation • 13 octobre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SMARTMOBILITY TERRAIN • 4.1.0 • compilation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677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67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2677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