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94073">
      <w:pPr>
        <w:spacing w:before="160" w:after="0"/>
        <w:rPr>
          <w:rFonts w:hint="eastAsia" w:ascii="楷体" w:hAnsi="楷体" w:eastAsia="楷体" w:cs="楷体"/>
        </w:rPr>
      </w:pPr>
      <w:bookmarkStart w:id="0" w:name="_GoBack"/>
      <w:r>
        <w:rPr>
          <w:rFonts w:hint="eastAsia" w:ascii="楷体" w:hAnsi="楷体" w:eastAsia="楷体" w:cs="楷体"/>
          <w:b/>
          <w:bCs/>
          <w:color w:val="1F3A5F"/>
          <w:sz w:val="34"/>
          <w:szCs w:val="34"/>
        </w:rPr>
        <w:t>思维印记 · 能力技能树</w:t>
      </w:r>
    </w:p>
    <w:p w14:paraId="5ED251C4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19"/>
          <w:szCs w:val="19"/>
        </w:rPr>
        <w:t xml:space="preserve">The Mark of Thinking · Skill Tree　|　以 TOK 知识框架为骨架 </w:t>
      </w:r>
    </w:p>
    <w:p w14:paraId="6FDC8F78">
      <w:pPr>
        <w:pBdr>
          <w:bottom w:val="single" w:color="1F3A5F" w:sz="14" w:space="6"/>
        </w:pBdr>
        <w:spacing w:after="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333333"/>
          <w:sz w:val="18"/>
          <w:szCs w:val="18"/>
        </w:rPr>
        <w:t>从信息素养基本功,到覆盖完整 TOK 的学科化思维与反身性</w:t>
      </w:r>
    </w:p>
    <w:p w14:paraId="41B659CE">
      <w:pPr>
        <w:spacing w:before="50" w:after="40"/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drawing>
          <wp:inline distT="0" distB="0" distL="0" distR="0">
            <wp:extent cx="6273165" cy="5906770"/>
            <wp:effectExtent l="0" t="0" r="63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539" r="2739" b="958"/>
                    <a:stretch>
                      <a:fillRect/>
                    </a:stretch>
                  </pic:blipFill>
                  <pic:spPr>
                    <a:xfrm>
                      <a:off x="0" y="0"/>
                      <a:ext cx="6273165" cy="59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A222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</w:pPr>
    </w:p>
    <w:p w14:paraId="5BE59038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1 · 怎么读这棵树</w:t>
      </w:r>
    </w:p>
    <w:p w14:paraId="71BFE8A5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How to read it</w:t>
      </w:r>
    </w:p>
    <w:p w14:paraId="3E1EC593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这棵树把近 30 门课组织成一个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可进阶、可定位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的体系。三条读法:</w:t>
      </w:r>
    </w:p>
    <w:p w14:paraId="4557F1E2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由根往上 = 进阶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:树根是信息素养基本功(怎么读信源),沿四条枝干往上是横跨学科的思维工具与五大学科,树冠是审视自己怎么想的反身性收口。每条枝干 = 一类能力,从基础到进阶串成一条路径。</w:t>
      </w:r>
    </w:p>
    <w:p w14:paraId="2B80000D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颜色 = 类别,并对应 TOK 框架支柱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:信息素养(蓝)→ 方法与工具(信息层);知识工具(青)→ 方法与工具 + 视角;五大 AOK(棕)→ 各学科的方法;AI 时代·伦理(紫)→ 知识与技术 + 伦理;反身性(深蓝)→ 横跨四支柱的反身性。</w:t>
      </w:r>
    </w:p>
    <w:p w14:paraId="64D275C7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两条贯穿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:横向的「知识工具」层服务于所有学科;纵向的「伦理线」穿过五个 AOK(伦理判断课 × 每个学科的伦理维度,见《五大 AOK 的伦理维度·接驳伦理课》)。</w:t>
      </w:r>
    </w:p>
    <w:p w14:paraId="73279B67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2 · 五条主干(分支)</w:t>
      </w:r>
    </w:p>
    <w:p w14:paraId="3D0C1F04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five branches</w:t>
      </w:r>
    </w:p>
    <w:p w14:paraId="1937D93C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每条主干是一类能力,内部从基础到进阶。它们共用同一台引擎,只是题材与放手程度不同。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500"/>
        <w:gridCol w:w="2900"/>
        <w:gridCol w:w="1738"/>
      </w:tblGrid>
      <w:tr w14:paraId="12EB2CDD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368E6EF0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主干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0233824D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包含的课(示例)</w:t>
            </w:r>
          </w:p>
        </w:tc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7C18282F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它建立的能力</w:t>
            </w:r>
          </w:p>
        </w:tc>
        <w:tc>
          <w:tcPr>
            <w:tcW w:w="1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5E6BECE9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对应框架支柱</w:t>
            </w:r>
          </w:p>
        </w:tc>
      </w:tr>
      <w:tr w14:paraId="1FD42EA7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1687A6EE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信息素养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63189A9E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CRRAAB/CRAAP · SIFT · 横向阅读 · 资金链溯源 · 漂绿 · CDA · 气候多模态 · 学术写作</w:t>
            </w:r>
          </w:p>
        </w:tc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1F00F51C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会读信源:辨真伪、查出处、横向核对、追踪利益</w:t>
            </w:r>
          </w:p>
        </w:tc>
        <w:tc>
          <w:tcPr>
            <w:tcW w:w="1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0DC19EBD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方法与工具(信息层)</w:t>
            </w:r>
          </w:p>
        </w:tc>
      </w:tr>
      <w:tr w14:paraId="174E03C3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5D064B6B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知识工具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3ED2937A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事实/观点/价值 · 论证与谬误 · 数据与统计 · 语言塑造思维 · 我们能多确定</w:t>
            </w:r>
          </w:p>
        </w:tc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42659953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横跨学科的思维基本功:分清陈述、拆论证、读数据、看框定、校准确定度</w:t>
            </w:r>
          </w:p>
        </w:tc>
        <w:tc>
          <w:tcPr>
            <w:tcW w:w="1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1D750C18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方法与工具 + 视角</w:t>
            </w:r>
          </w:p>
        </w:tc>
      </w:tr>
      <w:tr w14:paraId="648CA97A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083AA672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五大 AOK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5B9DCC09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历史(OPCVL/哥伦布)· 自然科学 · 数学 · 人文社科 · 艺术(Frost)</w:t>
            </w:r>
          </w:p>
        </w:tc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7D4DCF80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每个学科「怎么算知道」:史料/证据/证明/有限科学/有据解读</w:t>
            </w:r>
          </w:p>
        </w:tc>
        <w:tc>
          <w:tcPr>
            <w:tcW w:w="1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2289483C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各学科的方法(Methods)</w:t>
            </w:r>
          </w:p>
        </w:tc>
      </w:tr>
      <w:tr w14:paraId="7FB15792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46F2D060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AI 时代 · 伦理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4C11244C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与 AI 协作 · AI 重写历史 · 伦理判断(含 AI 伦理)</w:t>
            </w:r>
          </w:p>
        </w:tc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17C16EFC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在 AI 时代保持判断 + 想清楚「应不应该」</w:t>
            </w:r>
          </w:p>
        </w:tc>
        <w:tc>
          <w:tcPr>
            <w:tcW w:w="1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7BF91753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知识与技术 + 伦理</w:t>
            </w:r>
          </w:p>
        </w:tc>
      </w:tr>
      <w:tr w14:paraId="2538B45D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46BDB2F4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反身性 · 收口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293FBD81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认知者的视角(我没被骗吗)· 元认知(审视自己的推理)</w:t>
            </w:r>
          </w:p>
        </w:tc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7E16579D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回看自己怎么想:照见偏见、校准自审</w:t>
            </w:r>
          </w:p>
        </w:tc>
        <w:tc>
          <w:tcPr>
            <w:tcW w:w="1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09B5ED56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横跨四支柱的反身性</w:t>
            </w:r>
          </w:p>
        </w:tc>
      </w:tr>
    </w:tbl>
    <w:p w14:paraId="205C18D7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179E08D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3 · 三条贯穿线</w:t>
      </w:r>
    </w:p>
    <w:p w14:paraId="6626B021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Three threads that run through everything</w:t>
      </w:r>
    </w:p>
    <w:p w14:paraId="74FBE7B7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一、知识工具(横向贯穿):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「事实/观点」「论证」「数据」「语言」「确定性」这些课,不属于某一个学科——它们是每个 AOK 都要用的思维基本功。学生在工具课练熟,到任何学科都能调用。这正是产品「测可迁移能力」的落点。</w:t>
      </w:r>
    </w:p>
    <w:p w14:paraId="1976C494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二、伦理线(纵向穿过五个 AOK):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伦理判断课教「怎么想清楚一个应该」;每个 AOK 又各有自己的伦理维度(历史:谁有权讲述;科学:该不该研究一切;数学:算法的决定该不该信;人文社科:把人当目的;艺术:再现他人)。这条线把伦理从「一节课」变成贯穿整个课程的一根筋——也正是现行 TOK 把伦理当框架维度的做法。</w:t>
      </w:r>
    </w:p>
    <w:p w14:paraId="10B593C6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三、同一台引擎(底座):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所有课共用一套运行逻辑:一次只问一个、克制阶梯(绝不替学生定论)、主动性梯度(自发/提示后/未达成)、测「怎么想」不测「知不知道」。换课只是换题材与放手程度,不是换平台。</w:t>
      </w:r>
    </w:p>
    <w:p w14:paraId="51F1FA2D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4 · 年龄分层</w:t>
      </w:r>
    </w:p>
    <w:p w14:paraId="4ECF6690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By age band</w:t>
      </w:r>
    </w:p>
    <w:p w14:paraId="46A3EB01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批判性思维是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分龄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的,不是「简化版」。同一套引擎,题材和放手程度随龄调整: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4400"/>
        <w:gridCol w:w="3838"/>
      </w:tblGrid>
      <w:tr w14:paraId="6BC92686">
        <w:trPr>
          <w:tblHeader/>
        </w:trPr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0415CF08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学段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599490AB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主要课程</w:t>
            </w:r>
          </w:p>
        </w:tc>
        <w:tc>
          <w:tcPr>
            <w:tcW w:w="3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428CCDD5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题材举例</w:t>
            </w:r>
          </w:p>
        </w:tc>
      </w:tr>
      <w:tr w14:paraId="3A6C2074"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6F394E11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小学 PYP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454B3AF7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信息素养雏形(「这是真的吗?」「你怎么知道的?」)· 问对问题 · 部分事实/观点</w:t>
            </w:r>
          </w:p>
        </w:tc>
        <w:tc>
          <w:tcPr>
            <w:tcW w:w="3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29E420A8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广告、绘本、动画;鲸鲨吃塑料会死吗(Mia 案例)</w:t>
            </w:r>
          </w:p>
        </w:tc>
      </w:tr>
      <w:tr w14:paraId="51DC8FD3"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0F64640A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初中 MYP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2F170FB4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信息素养主线 · 论证与谬误 · 数据 · 语言 · 历史一手/二手入门 · 与 AI 协作</w:t>
            </w:r>
          </w:p>
        </w:tc>
        <w:tc>
          <w:tcPr>
            <w:tcW w:w="3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100A8B72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网红、短视频、饭圈、AI 作业;排毒茶能减肥吗(Leo 案例)</w:t>
            </w:r>
          </w:p>
        </w:tc>
      </w:tr>
      <w:tr w14:paraId="11647FBE"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105240F2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高中 DP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5467A0B1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五大 AOK 学科化 · 伦理判断 · 认知者的视角 · 元认知 · OPCVL 双源</w:t>
            </w:r>
          </w:p>
        </w:tc>
        <w:tc>
          <w:tcPr>
            <w:tcW w:w="3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63799C90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威尼斯过度旅游(Phoebe)· 双海报史观自觉(Eliza)· Frost 误读</w:t>
            </w:r>
          </w:p>
        </w:tc>
      </w:tr>
    </w:tbl>
    <w:p w14:paraId="77B08BF9">
      <w:pPr>
        <w:spacing w:before="14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注:信息素养与多门工具课可在小学/初中起步;五大 AOK 与反身性收口主要在高中(DP)。这让产品覆盖整个 K12,而非只服务 DP 顶尖生。</w:t>
      </w:r>
    </w:p>
    <w:p w14:paraId="75487457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5 · 一条进阶路径(示例)</w:t>
      </w:r>
    </w:p>
    <w:p w14:paraId="0082AF29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An example progression path</w:t>
      </w:r>
    </w:p>
    <w:p w14:paraId="20C50567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以一个学生为例,看能力如何沿树往上长:</w:t>
      </w:r>
    </w:p>
    <w:p w14:paraId="7D73F994">
      <w:pPr>
        <w:pStyle w:val="16"/>
        <w:numPr>
          <w:ilvl w:val="0"/>
          <w:numId w:val="2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起点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:学会问「我怎么知道?」,用 CRRAAB 辨信源、用 SIFT 横向核查(信息素养基本功)。</w:t>
      </w:r>
    </w:p>
    <w:p w14:paraId="658DAC1D">
      <w:pPr>
        <w:pStyle w:val="16"/>
        <w:numPr>
          <w:ilvl w:val="0"/>
          <w:numId w:val="2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往上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:能分清事实/观点/价值、拆开一个论证、看穿一张误导图、识别措辞的框定(知识工具)。</w:t>
      </w:r>
    </w:p>
    <w:p w14:paraId="25020504">
      <w:pPr>
        <w:pStyle w:val="16"/>
        <w:numPr>
          <w:ilvl w:val="0"/>
          <w:numId w:val="2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进入学科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:用 OPCVL 评估史料、用「可证伪/对照」判断科学主张、用「证明 vs 证据」看数学、为一首诗的解读找文本依据(五大 AOK)。</w:t>
      </w:r>
    </w:p>
    <w:p w14:paraId="1F5CB85A">
      <w:pPr>
        <w:pStyle w:val="16"/>
        <w:numPr>
          <w:ilvl w:val="0"/>
          <w:numId w:val="2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AI 与伦理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:在与 AI 协作时守住判断、想清楚「该不该用 AI 代写/让 AI 给人做决定」(AI 时代 · 伦理)。</w:t>
      </w:r>
    </w:p>
    <w:p w14:paraId="286FEAFC">
      <w:pPr>
        <w:pStyle w:val="16"/>
        <w:numPr>
          <w:ilvl w:val="0"/>
          <w:numId w:val="2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收口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:回看自己——「我是不是只信我想信的?」照见自己的偏见、带着自信去自审(反身性)。</w:t>
      </w:r>
    </w:p>
    <w:p w14:paraId="26D0FEEC">
      <w:pPr>
        <w:spacing w:before="16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这条路径不是线性必经,而是一张</w:t>
      </w: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可定位的地图</w:t>
      </w: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:老师用它看一个学生在哪一层、缺哪一块;学生用它看自己下一步往哪走。配合评估平台的 rubric,树上的每一格都能被</w:t>
      </w: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测量</w:t>
      </w: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——这就是「可练、可测的 TOK」。</w:t>
      </w:r>
    </w:p>
    <w:bookmarkEnd w:id="0"/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06FA6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965C3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思维印记 · 能力技能树</w:t>
    </w:r>
    <w:r>
      <w:rPr>
        <w:color w:val="6B7280"/>
        <w:sz w:val="16"/>
        <w:szCs w:val="16"/>
      </w:rPr>
      <w:tab/>
      <w:t>The Mark of Thinking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FDF19B"/>
    <w:multiLevelType w:val="singleLevel"/>
    <w:tmpl w:val="FBFDF19B"/>
    <w:lvl w:ilvl="0" w:tentative="0">
      <w:start w:val="1"/>
      <w:numFmt w:val="bullet"/>
      <w:lvlText w:val="•"/>
      <w:lvlJc w:val="left"/>
      <w:pPr>
        <w:ind w:left="460" w:hanging="260"/>
      </w:pPr>
    </w:lvl>
  </w:abstractNum>
  <w:abstractNum w:abstractNumId="1">
    <w:nsid w:val="7BFE04A0"/>
    <w:multiLevelType w:val="singleLevel"/>
    <w:tmpl w:val="7BFE04A0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BFFF486F"/>
    <w:rsid w:val="F6FF13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40" w:after="120"/>
      <w:outlineLvl w:val="0"/>
    </w:pPr>
    <w:rPr>
      <w:rFonts w:ascii="微软雅黑" w:hAnsi="微软雅黑" w:eastAsia="微软雅黑" w:cs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30" w:after="90"/>
      <w:outlineLvl w:val="1"/>
    </w:pPr>
    <w:rPr>
      <w:rFonts w:ascii="微软雅黑" w:hAnsi="微软雅黑" w:eastAsia="微软雅黑" w:cs="微软雅黑"/>
      <w:b/>
      <w:bCs/>
      <w:color w:val="2E5E7E"/>
      <w:sz w:val="23"/>
      <w:szCs w:val="23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2026-06-16T12:09:54Z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E67335AD4F0447A3A2DA306A28FEF83D_42</vt:lpwstr>
  </property>
</Properties>
</file>